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AA" w:rsidRDefault="008743AA">
      <w:pPr>
        <w:widowControl w:val="0"/>
        <w:tabs>
          <w:tab w:val="center" w:pos="4680"/>
        </w:tabs>
        <w:jc w:val="both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6"/>
        </w:rPr>
        <w:tab/>
        <w:t>IN THE CIRCUIT COURT OF MAYCOMB COUNTY, ALABAMA</w:t>
      </w:r>
    </w:p>
    <w:p w:rsidR="008743AA" w:rsidRDefault="008743AA">
      <w:pPr>
        <w:widowControl w:val="0"/>
        <w:rPr>
          <w:sz w:val="26"/>
        </w:rPr>
      </w:pPr>
    </w:p>
    <w:p w:rsidR="008743AA" w:rsidRDefault="008743AA">
      <w:pPr>
        <w:widowControl w:val="0"/>
        <w:tabs>
          <w:tab w:val="center" w:pos="4680"/>
        </w:tabs>
        <w:rPr>
          <w:sz w:val="26"/>
        </w:rPr>
      </w:pPr>
      <w:r>
        <w:rPr>
          <w:sz w:val="26"/>
        </w:rPr>
        <w:t>STATE OF ALABAMA,</w:t>
      </w:r>
      <w:r>
        <w:rPr>
          <w:sz w:val="26"/>
        </w:rPr>
        <w:tab/>
        <w:t>*</w:t>
      </w:r>
    </w:p>
    <w:p w:rsidR="008743AA" w:rsidRDefault="008743AA">
      <w:pPr>
        <w:widowControl w:val="0"/>
        <w:tabs>
          <w:tab w:val="center" w:pos="4680"/>
        </w:tabs>
        <w:rPr>
          <w:sz w:val="26"/>
        </w:rPr>
      </w:pPr>
      <w:r>
        <w:rPr>
          <w:sz w:val="26"/>
        </w:rPr>
        <w:tab/>
        <w:t>*</w:t>
      </w:r>
      <w:r>
        <w:rPr>
          <w:sz w:val="26"/>
        </w:rPr>
        <w:tab/>
      </w:r>
    </w:p>
    <w:p w:rsidR="008743AA" w:rsidRDefault="00FB464B">
      <w:pPr>
        <w:widowControl w:val="0"/>
        <w:tabs>
          <w:tab w:val="center" w:pos="4680"/>
        </w:tabs>
        <w:ind w:left="720" w:right="720"/>
        <w:rPr>
          <w:sz w:val="26"/>
        </w:rPr>
      </w:pPr>
      <w:r>
        <w:rPr>
          <w:sz w:val="26"/>
        </w:rPr>
        <w:t>v.</w:t>
      </w:r>
      <w:r>
        <w:rPr>
          <w:sz w:val="26"/>
        </w:rPr>
        <w:tab/>
        <w:t>*</w:t>
      </w:r>
      <w:r>
        <w:rPr>
          <w:sz w:val="26"/>
        </w:rPr>
        <w:tab/>
      </w:r>
      <w:r>
        <w:rPr>
          <w:sz w:val="26"/>
        </w:rPr>
        <w:tab/>
      </w:r>
      <w:bookmarkStart w:id="0" w:name="_GoBack"/>
      <w:bookmarkEnd w:id="0"/>
      <w:r w:rsidR="008743AA">
        <w:rPr>
          <w:sz w:val="26"/>
        </w:rPr>
        <w:t>Case No. CC-00-0000</w:t>
      </w:r>
    </w:p>
    <w:p w:rsidR="008743AA" w:rsidRDefault="008743AA">
      <w:pPr>
        <w:widowControl w:val="0"/>
        <w:tabs>
          <w:tab w:val="center" w:pos="4680"/>
        </w:tabs>
        <w:rPr>
          <w:sz w:val="26"/>
        </w:rPr>
      </w:pPr>
      <w:r>
        <w:rPr>
          <w:sz w:val="26"/>
        </w:rPr>
        <w:tab/>
        <w:t>*</w:t>
      </w:r>
    </w:p>
    <w:p w:rsidR="008743AA" w:rsidRDefault="008743AA">
      <w:pPr>
        <w:widowControl w:val="0"/>
        <w:tabs>
          <w:tab w:val="center" w:pos="4680"/>
        </w:tabs>
        <w:rPr>
          <w:sz w:val="26"/>
        </w:rPr>
      </w:pPr>
      <w:proofErr w:type="gramStart"/>
      <w:r>
        <w:rPr>
          <w:sz w:val="26"/>
        </w:rPr>
        <w:t>JOE CLIENT.</w:t>
      </w:r>
      <w:proofErr w:type="gramEnd"/>
      <w:r>
        <w:rPr>
          <w:sz w:val="26"/>
        </w:rPr>
        <w:tab/>
        <w:t>*</w:t>
      </w:r>
    </w:p>
    <w:p w:rsidR="008743AA" w:rsidRDefault="008743AA">
      <w:pPr>
        <w:widowControl w:val="0"/>
        <w:rPr>
          <w:sz w:val="26"/>
        </w:rPr>
      </w:pPr>
    </w:p>
    <w:p w:rsidR="008743AA" w:rsidRDefault="008743AA">
      <w:pPr>
        <w:widowControl w:val="0"/>
        <w:jc w:val="center"/>
        <w:rPr>
          <w:sz w:val="26"/>
        </w:rPr>
      </w:pPr>
      <w:r>
        <w:rPr>
          <w:b/>
          <w:sz w:val="26"/>
          <w:u w:val="single"/>
        </w:rPr>
        <w:t>MOTION TO PROHIBIT STATE FROM USING ITS PEREMPTORY CHALLENGES IN A DISCRIMINATORY MANNER</w:t>
      </w:r>
    </w:p>
    <w:p w:rsidR="008743AA" w:rsidRDefault="008743AA">
      <w:pPr>
        <w:widowControl w:val="0"/>
        <w:jc w:val="both"/>
        <w:rPr>
          <w:sz w:val="26"/>
        </w:rPr>
      </w:pPr>
    </w:p>
    <w:p w:rsidR="008743AA" w:rsidRDefault="008743AA">
      <w:pPr>
        <w:widowControl w:val="0"/>
        <w:jc w:val="both"/>
        <w:rPr>
          <w:sz w:val="26"/>
        </w:rPr>
      </w:pPr>
      <w:r>
        <w:rPr>
          <w:sz w:val="26"/>
        </w:rPr>
        <w:tab/>
        <w:t xml:space="preserve">Joe Client respectfully moves this Court to enter an order prohibiting the State from employing its peremptory challenges in a discriminatory manner.  In support of this motion, Mr. Client submits the following:  </w:t>
      </w:r>
    </w:p>
    <w:p w:rsidR="008743AA" w:rsidRDefault="008743AA">
      <w:pPr>
        <w:widowControl w:val="0"/>
        <w:jc w:val="both"/>
        <w:rPr>
          <w:sz w:val="26"/>
        </w:rPr>
      </w:pPr>
    </w:p>
    <w:p w:rsidR="008743AA" w:rsidRDefault="008743AA">
      <w:pPr>
        <w:widowControl w:val="0"/>
        <w:jc w:val="both"/>
        <w:rPr>
          <w:sz w:val="26"/>
        </w:rPr>
      </w:pPr>
      <w:r>
        <w:rPr>
          <w:sz w:val="26"/>
        </w:rPr>
        <w:tab/>
        <w:t>1.</w:t>
      </w:r>
      <w:r>
        <w:rPr>
          <w:sz w:val="26"/>
        </w:rPr>
        <w:tab/>
        <w:t>Joe Client is African American and is charged with the capital robbery-murder of a white person.  The State is seeking the death penalty.</w:t>
      </w:r>
    </w:p>
    <w:p w:rsidR="008743AA" w:rsidRDefault="008743AA">
      <w:pPr>
        <w:widowControl w:val="0"/>
        <w:jc w:val="both"/>
        <w:rPr>
          <w:sz w:val="26"/>
        </w:rPr>
      </w:pPr>
    </w:p>
    <w:p w:rsidR="008743AA" w:rsidRDefault="008743AA">
      <w:pPr>
        <w:widowControl w:val="0"/>
        <w:jc w:val="both"/>
        <w:rPr>
          <w:sz w:val="26"/>
        </w:rPr>
      </w:pPr>
      <w:r>
        <w:rPr>
          <w:sz w:val="26"/>
        </w:rPr>
        <w:tab/>
        <w:t>2.</w:t>
      </w:r>
      <w:r>
        <w:rPr>
          <w:sz w:val="26"/>
        </w:rPr>
        <w:tab/>
        <w:t xml:space="preserve">It is clear that state and federal law prohibit the exercise of peremptory challenges against jurors on the basis of race.  </w:t>
      </w:r>
      <w:proofErr w:type="gramStart"/>
      <w:r>
        <w:rPr>
          <w:sz w:val="26"/>
          <w:u w:val="single"/>
        </w:rPr>
        <w:t>Foster v. Chatman</w:t>
      </w:r>
      <w:r>
        <w:rPr>
          <w:sz w:val="26"/>
        </w:rPr>
        <w:t xml:space="preserve">, 136 S. Ct. 1737, 1747 (2016); </w:t>
      </w:r>
      <w:r>
        <w:rPr>
          <w:sz w:val="26"/>
          <w:u w:val="single"/>
        </w:rPr>
        <w:t>Snyder v. Louisiana</w:t>
      </w:r>
      <w:r>
        <w:rPr>
          <w:sz w:val="26"/>
        </w:rPr>
        <w:t xml:space="preserve">, 552 U.S. 472, 478 (2008); </w:t>
      </w:r>
      <w:r>
        <w:rPr>
          <w:sz w:val="26"/>
          <w:u w:val="single"/>
        </w:rPr>
        <w:t xml:space="preserve">Miller-El v. </w:t>
      </w:r>
      <w:proofErr w:type="spellStart"/>
      <w:r>
        <w:rPr>
          <w:sz w:val="26"/>
          <w:u w:val="single"/>
        </w:rPr>
        <w:t>Dretke</w:t>
      </w:r>
      <w:proofErr w:type="spellEnd"/>
      <w:r>
        <w:rPr>
          <w:sz w:val="26"/>
        </w:rPr>
        <w:t xml:space="preserve">, 545 U.S. 231, 237 (2005); </w:t>
      </w:r>
      <w:r>
        <w:rPr>
          <w:sz w:val="26"/>
          <w:u w:val="single"/>
        </w:rPr>
        <w:t>Johnson v. California</w:t>
      </w:r>
      <w:r>
        <w:rPr>
          <w:sz w:val="26"/>
        </w:rPr>
        <w:t xml:space="preserve">, 545 U.S. 162, 170 (2005); </w:t>
      </w:r>
      <w:r>
        <w:rPr>
          <w:sz w:val="26"/>
          <w:u w:val="single"/>
        </w:rPr>
        <w:t>Batson v. Kentucky</w:t>
      </w:r>
      <w:r>
        <w:rPr>
          <w:sz w:val="26"/>
        </w:rPr>
        <w:t xml:space="preserve">, 476 U.S. 79, 89 (1986); </w:t>
      </w:r>
      <w:r>
        <w:rPr>
          <w:sz w:val="26"/>
          <w:u w:val="single"/>
        </w:rPr>
        <w:t>Ex parte Branch</w:t>
      </w:r>
      <w:r>
        <w:rPr>
          <w:sz w:val="26"/>
        </w:rPr>
        <w:t>, 526 So.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2d 609, 618-19 (Ala. 1987).</w:t>
      </w:r>
      <w:proofErr w:type="gramEnd"/>
      <w:r>
        <w:rPr>
          <w:sz w:val="26"/>
        </w:rPr>
        <w:t xml:space="preserve">  </w:t>
      </w:r>
    </w:p>
    <w:p w:rsidR="008743AA" w:rsidRDefault="008743AA">
      <w:pPr>
        <w:widowControl w:val="0"/>
        <w:jc w:val="both"/>
        <w:rPr>
          <w:sz w:val="26"/>
        </w:rPr>
      </w:pPr>
    </w:p>
    <w:p w:rsidR="008743AA" w:rsidRDefault="008743AA">
      <w:pPr>
        <w:widowControl w:val="0"/>
        <w:jc w:val="both"/>
        <w:rPr>
          <w:sz w:val="26"/>
        </w:rPr>
      </w:pPr>
      <w:r>
        <w:rPr>
          <w:sz w:val="26"/>
        </w:rPr>
        <w:tab/>
        <w:t>3.</w:t>
      </w:r>
      <w:r>
        <w:rPr>
          <w:sz w:val="26"/>
        </w:rPr>
        <w:tab/>
        <w:t xml:space="preserve">The law prohibiting racially discriminatory use of peremptory strikes applies equally to the prosecutor’s discriminatory use of strikes on the basis of gender.  </w:t>
      </w:r>
      <w:proofErr w:type="gramStart"/>
      <w:r>
        <w:rPr>
          <w:sz w:val="26"/>
          <w:u w:val="single"/>
        </w:rPr>
        <w:t>J.E.B. v. Alabama</w:t>
      </w:r>
      <w:r>
        <w:rPr>
          <w:sz w:val="26"/>
        </w:rPr>
        <w:t xml:space="preserve">, 511 U.S. 127 (1994); </w:t>
      </w:r>
      <w:r>
        <w:rPr>
          <w:sz w:val="26"/>
          <w:u w:val="single"/>
        </w:rPr>
        <w:t>Ex parte Trawick</w:t>
      </w:r>
      <w:r>
        <w:rPr>
          <w:sz w:val="26"/>
        </w:rPr>
        <w:t>, 698 So.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2d 162 (Ala. 1997).</w:t>
      </w:r>
      <w:proofErr w:type="gramEnd"/>
    </w:p>
    <w:p w:rsidR="008743AA" w:rsidRDefault="008743AA">
      <w:pPr>
        <w:widowControl w:val="0"/>
        <w:jc w:val="both"/>
        <w:rPr>
          <w:sz w:val="26"/>
        </w:rPr>
      </w:pPr>
    </w:p>
    <w:p w:rsidR="008743AA" w:rsidRDefault="008743AA">
      <w:pPr>
        <w:widowControl w:val="0"/>
        <w:jc w:val="both"/>
        <w:rPr>
          <w:sz w:val="26"/>
        </w:rPr>
      </w:pPr>
      <w:r>
        <w:rPr>
          <w:sz w:val="26"/>
        </w:rPr>
        <w:tab/>
        <w:t>4.</w:t>
      </w:r>
      <w:r>
        <w:rPr>
          <w:sz w:val="26"/>
        </w:rPr>
        <w:tab/>
        <w:t xml:space="preserve">Alabama state law specifically prohibits discrimination in the selection of juries.  Ala. Code § 12-16-56 (“A citizen shall not be excluded from jury service in this state on account of race, color, religion, sex, national origin or economic status.”); </w:t>
      </w:r>
      <w:r>
        <w:rPr>
          <w:sz w:val="26"/>
          <w:u w:val="single"/>
        </w:rPr>
        <w:t>see also</w:t>
      </w:r>
      <w:r>
        <w:rPr>
          <w:i/>
          <w:sz w:val="26"/>
        </w:rPr>
        <w:t xml:space="preserve"> </w:t>
      </w:r>
      <w:r>
        <w:rPr>
          <w:sz w:val="26"/>
        </w:rPr>
        <w:t>Ala. Code § 12-16-55 (“It is the policy of this state that all qualified citizens have the opportunity . . . to be considered for jury service . . . .”).</w:t>
      </w:r>
    </w:p>
    <w:p w:rsidR="008743AA" w:rsidRDefault="008743AA">
      <w:pPr>
        <w:widowControl w:val="0"/>
        <w:jc w:val="both"/>
        <w:rPr>
          <w:sz w:val="26"/>
        </w:rPr>
      </w:pPr>
    </w:p>
    <w:p w:rsidR="008743AA" w:rsidRDefault="008743AA">
      <w:pPr>
        <w:widowControl w:val="0"/>
        <w:jc w:val="both"/>
        <w:rPr>
          <w:sz w:val="26"/>
        </w:rPr>
      </w:pPr>
      <w:r>
        <w:rPr>
          <w:sz w:val="26"/>
        </w:rPr>
        <w:tab/>
        <w:t>5.</w:t>
      </w:r>
      <w:r>
        <w:rPr>
          <w:sz w:val="26"/>
        </w:rPr>
        <w:tab/>
        <w:t xml:space="preserve">The prosecutor’s office in Maycomb County has a pattern and practice of striking potential jurors on the basis of race and gender.  </w:t>
      </w:r>
      <w:r>
        <w:rPr>
          <w:sz w:val="26"/>
          <w:u w:val="single"/>
        </w:rPr>
        <w:t>See</w:t>
      </w:r>
      <w:r>
        <w:rPr>
          <w:sz w:val="26"/>
        </w:rPr>
        <w:t xml:space="preserve"> </w:t>
      </w:r>
      <w:r>
        <w:rPr>
          <w:sz w:val="26"/>
          <w:u w:val="single"/>
        </w:rPr>
        <w:t>Miller-El</w:t>
      </w:r>
      <w:r>
        <w:rPr>
          <w:sz w:val="26"/>
        </w:rPr>
        <w:t xml:space="preserve">, 545 U.S. at 266 (history of racial discrimination in jury selection supports finding </w:t>
      </w:r>
      <w:r>
        <w:rPr>
          <w:sz w:val="26"/>
          <w:u w:val="single"/>
        </w:rPr>
        <w:t>Batson</w:t>
      </w:r>
      <w:r>
        <w:rPr>
          <w:sz w:val="26"/>
        </w:rPr>
        <w:t xml:space="preserve"> violation); </w:t>
      </w:r>
      <w:r>
        <w:rPr>
          <w:sz w:val="26"/>
          <w:u w:val="single"/>
        </w:rPr>
        <w:t>Sims v. State</w:t>
      </w:r>
      <w:r>
        <w:rPr>
          <w:sz w:val="26"/>
        </w:rPr>
        <w:t xml:space="preserve">, 587 So. 2d 1271, 1277 (Ala. Crim. App. 1991) (in finding </w:t>
      </w:r>
      <w:r>
        <w:rPr>
          <w:sz w:val="26"/>
          <w:u w:val="single"/>
        </w:rPr>
        <w:t>Batson</w:t>
      </w:r>
      <w:r>
        <w:rPr>
          <w:i/>
          <w:sz w:val="26"/>
        </w:rPr>
        <w:t xml:space="preserve"> </w:t>
      </w:r>
      <w:r>
        <w:rPr>
          <w:sz w:val="26"/>
        </w:rPr>
        <w:t xml:space="preserve">violation, court noted that State did not “write on a clean slate” where prosecutor’s office had several other </w:t>
      </w:r>
      <w:r>
        <w:rPr>
          <w:sz w:val="26"/>
          <w:u w:val="single"/>
        </w:rPr>
        <w:t>Batson</w:t>
      </w:r>
      <w:r>
        <w:rPr>
          <w:sz w:val="26"/>
        </w:rPr>
        <w:t xml:space="preserve"> reversals) (citing </w:t>
      </w:r>
      <w:r>
        <w:rPr>
          <w:sz w:val="26"/>
          <w:u w:val="single"/>
        </w:rPr>
        <w:t>Warner v. State</w:t>
      </w:r>
      <w:r>
        <w:rPr>
          <w:sz w:val="26"/>
        </w:rPr>
        <w:t xml:space="preserve">, 594 So. 2d 664 (Ala. Crim. App. 1990)). The illegal strike of even one juror would violate the juror’s rights to equal </w:t>
      </w:r>
      <w:r>
        <w:rPr>
          <w:sz w:val="26"/>
        </w:rPr>
        <w:lastRenderedPageBreak/>
        <w:t>protection as well as  Mr. Client’s rights to due process, a fair trial, and a reliable sentencing as guaranteed under the Fifth, Sixth, Eighth, and Fourteenth Amendments and Alabama law.</w:t>
      </w:r>
    </w:p>
    <w:p w:rsidR="008743AA" w:rsidRDefault="008743AA">
      <w:pPr>
        <w:widowControl w:val="0"/>
        <w:jc w:val="both"/>
        <w:rPr>
          <w:sz w:val="26"/>
        </w:rPr>
      </w:pPr>
      <w:r>
        <w:rPr>
          <w:sz w:val="26"/>
        </w:rPr>
        <w:t xml:space="preserve">  </w:t>
      </w:r>
    </w:p>
    <w:p w:rsidR="008743AA" w:rsidRDefault="008743AA">
      <w:pPr>
        <w:widowControl w:val="0"/>
        <w:jc w:val="both"/>
        <w:rPr>
          <w:sz w:val="26"/>
        </w:rPr>
      </w:pPr>
      <w:r>
        <w:rPr>
          <w:sz w:val="26"/>
        </w:rPr>
        <w:tab/>
        <w:t>6.</w:t>
      </w:r>
      <w:r>
        <w:rPr>
          <w:sz w:val="26"/>
        </w:rPr>
        <w:tab/>
        <w:t>To ensure that the State does not repeat its pattern of intentional discrimination at Joe Client’s trial, this Court must preclude the State from employing its peremptory strikes in a discriminatory manner.</w:t>
      </w:r>
    </w:p>
    <w:p w:rsidR="008743AA" w:rsidRDefault="008743AA">
      <w:pPr>
        <w:widowControl w:val="0"/>
        <w:jc w:val="both"/>
        <w:rPr>
          <w:sz w:val="26"/>
        </w:rPr>
      </w:pPr>
    </w:p>
    <w:p w:rsidR="008743AA" w:rsidRDefault="008743AA">
      <w:pPr>
        <w:widowControl w:val="0"/>
        <w:jc w:val="both"/>
        <w:rPr>
          <w:sz w:val="26"/>
        </w:rPr>
      </w:pPr>
      <w:r>
        <w:rPr>
          <w:sz w:val="26"/>
        </w:rPr>
        <w:tab/>
        <w:t>For these reasons, Joe Client respectfully requests that this Court enter an order granting this motion and prohibiting the State from employing its peremptory challenges in a discriminatory manner.</w:t>
      </w:r>
    </w:p>
    <w:p w:rsidR="008743AA" w:rsidRDefault="008743AA">
      <w:pPr>
        <w:widowControl w:val="0"/>
        <w:jc w:val="both"/>
        <w:rPr>
          <w:sz w:val="26"/>
        </w:rPr>
      </w:pPr>
    </w:p>
    <w:p w:rsidR="008743AA" w:rsidRDefault="008743AA">
      <w:pPr>
        <w:widowControl w:val="0"/>
        <w:ind w:left="72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Respectfully submitted,</w:t>
      </w:r>
    </w:p>
    <w:p w:rsidR="008743AA" w:rsidRDefault="008743AA">
      <w:pPr>
        <w:widowControl w:val="0"/>
        <w:ind w:left="720"/>
        <w:jc w:val="both"/>
        <w:rPr>
          <w:sz w:val="26"/>
        </w:rPr>
      </w:pPr>
    </w:p>
    <w:p w:rsidR="008743AA" w:rsidRDefault="008743AA">
      <w:pPr>
        <w:widowControl w:val="0"/>
        <w:ind w:left="72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  <w:u w:val="single"/>
        </w:rPr>
        <w:t>/s/ Linda Lawyer</w:t>
      </w:r>
    </w:p>
    <w:p w:rsidR="008743AA" w:rsidRDefault="008743AA">
      <w:pPr>
        <w:widowControl w:val="0"/>
        <w:ind w:left="72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Linda Lawyer</w:t>
      </w:r>
    </w:p>
    <w:p w:rsidR="008743AA" w:rsidRDefault="008743AA">
      <w:pPr>
        <w:widowControl w:val="0"/>
        <w:ind w:left="1440" w:right="72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123 Main Street</w:t>
      </w:r>
    </w:p>
    <w:p w:rsidR="008743AA" w:rsidRDefault="008743AA">
      <w:pPr>
        <w:widowControl w:val="0"/>
        <w:ind w:left="1440" w:right="72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Maycomb, AL 54321</w:t>
      </w:r>
    </w:p>
    <w:p w:rsidR="008743AA" w:rsidRDefault="008743AA">
      <w:pPr>
        <w:widowControl w:val="0"/>
        <w:ind w:left="72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(334) 987-6543</w:t>
      </w:r>
    </w:p>
    <w:p w:rsidR="008743AA" w:rsidRDefault="008743AA">
      <w:pPr>
        <w:widowControl w:val="0"/>
        <w:ind w:left="72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lawyer@email.com</w:t>
      </w:r>
    </w:p>
    <w:p w:rsidR="008743AA" w:rsidRDefault="008743AA">
      <w:pPr>
        <w:widowControl w:val="0"/>
        <w:jc w:val="both"/>
        <w:rPr>
          <w:sz w:val="26"/>
        </w:rPr>
      </w:pPr>
    </w:p>
    <w:p w:rsidR="008743AA" w:rsidRDefault="008743AA">
      <w:pPr>
        <w:widowControl w:val="0"/>
        <w:ind w:left="1440" w:right="720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i/>
          <w:sz w:val="26"/>
        </w:rPr>
        <w:t>Counsel for Joe Client</w:t>
      </w:r>
    </w:p>
    <w:p w:rsidR="008743AA" w:rsidRDefault="008743AA">
      <w:pPr>
        <w:widowControl w:val="0"/>
        <w:jc w:val="both"/>
        <w:rPr>
          <w:sz w:val="26"/>
        </w:rPr>
      </w:pPr>
    </w:p>
    <w:p w:rsidR="008743AA" w:rsidRDefault="008743AA">
      <w:pPr>
        <w:widowControl w:val="0"/>
        <w:tabs>
          <w:tab w:val="center" w:pos="4680"/>
        </w:tabs>
        <w:jc w:val="both"/>
        <w:rPr>
          <w:sz w:val="26"/>
        </w:rPr>
      </w:pPr>
      <w:r>
        <w:rPr>
          <w:sz w:val="26"/>
        </w:rPr>
        <w:tab/>
        <w:t>[CERTIFICATE OF SERVICE]</w:t>
      </w:r>
    </w:p>
    <w:p w:rsidR="008743AA" w:rsidRDefault="008743AA">
      <w:pPr>
        <w:widowControl w:val="0"/>
        <w:rPr>
          <w:sz w:val="26"/>
        </w:rPr>
      </w:pPr>
    </w:p>
    <w:p w:rsidR="008743AA" w:rsidRDefault="008743AA">
      <w:pPr>
        <w:widowControl w:val="0"/>
        <w:tabs>
          <w:tab w:val="center" w:pos="4680"/>
        </w:tabs>
        <w:spacing w:line="240" w:lineRule="atLeast"/>
      </w:pPr>
      <w:r>
        <w:rPr>
          <w:b/>
          <w:sz w:val="26"/>
        </w:rPr>
        <w:tab/>
        <w:t>[MOTION UPDATED ON 10/04/17]</w:t>
      </w:r>
    </w:p>
    <w:sectPr w:rsidR="008743AA" w:rsidSect="008743A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920" w:left="144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0B" w:rsidRDefault="00975A0B">
      <w:r>
        <w:separator/>
      </w:r>
    </w:p>
  </w:endnote>
  <w:endnote w:type="continuationSeparator" w:id="0">
    <w:p w:rsidR="00975A0B" w:rsidRDefault="0097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AA" w:rsidRDefault="008743AA">
    <w:pPr>
      <w:framePr w:w="9360" w:h="302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rPr>
        <w:color w:val="000000"/>
        <w:sz w:val="26"/>
      </w:rPr>
      <w:pgNum/>
    </w:r>
  </w:p>
  <w:p w:rsidR="008743AA" w:rsidRDefault="008743AA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AA" w:rsidRDefault="008743AA">
    <w:pPr>
      <w:framePr w:w="9360" w:h="302" w:hRule="exact" w:wrap="notBeside" w:vAnchor="page" w:hAnchor="text" w:y="14400"/>
      <w:widowControl w:val="0"/>
      <w:jc w:val="center"/>
      <w:rPr>
        <w:vanish/>
      </w:rPr>
    </w:pPr>
    <w:r>
      <w:rPr>
        <w:color w:val="000000"/>
        <w:sz w:val="26"/>
      </w:rPr>
      <w:pgNum/>
    </w:r>
  </w:p>
  <w:p w:rsidR="008743AA" w:rsidRDefault="008743AA">
    <w:pPr>
      <w:widowControl w:val="0"/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0B" w:rsidRDefault="00975A0B">
      <w:r>
        <w:separator/>
      </w:r>
    </w:p>
  </w:footnote>
  <w:footnote w:type="continuationSeparator" w:id="0">
    <w:p w:rsidR="00975A0B" w:rsidRDefault="00975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AA" w:rsidRDefault="008743AA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AA" w:rsidRDefault="008743AA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suff w:val="nothing"/>
      <w:lvlText w:val="(%1)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(%3)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(%5)"/>
      <w:lvlJc w:val="left"/>
      <w:rPr>
        <w:rFonts w:cs="Times New Roman"/>
      </w:rPr>
    </w:lvl>
    <w:lvl w:ilvl="5">
      <w:start w:val="1"/>
      <w:numFmt w:val="low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3AA"/>
    <w:rsid w:val="008743AA"/>
    <w:rsid w:val="00975A0B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rFonts w:cs="Times New Roman"/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  <w:sz w:val="20"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rFonts w:cs="Times New Roman"/>
      <w:i/>
    </w:rPr>
  </w:style>
  <w:style w:type="character" w:customStyle="1" w:styleId="CODE">
    <w:name w:val="CODE"/>
    <w:rPr>
      <w:rFonts w:ascii="Courier New" w:hAnsi="Courier New" w:cs="Times New Roman"/>
      <w:sz w:val="20"/>
    </w:rPr>
  </w:style>
  <w:style w:type="character" w:customStyle="1" w:styleId="WPEmphasis">
    <w:name w:val="WP_Emphasis"/>
    <w:rPr>
      <w:rFonts w:cs="Times New Roman"/>
      <w:i/>
    </w:rPr>
  </w:style>
  <w:style w:type="character" w:customStyle="1" w:styleId="WPHyperlink">
    <w:name w:val="WP_Hyperlink"/>
    <w:rPr>
      <w:rFonts w:cs="Times New Roman"/>
      <w:color w:val="0000FF"/>
      <w:u w:val="single"/>
    </w:rPr>
  </w:style>
  <w:style w:type="character" w:customStyle="1" w:styleId="FollowedHype">
    <w:name w:val="FollowedHype"/>
    <w:rPr>
      <w:rFonts w:cs="Times New Roman"/>
      <w:color w:val="800080"/>
      <w:u w:val="single"/>
    </w:rPr>
  </w:style>
  <w:style w:type="character" w:customStyle="1" w:styleId="Keyboard">
    <w:name w:val="Keyboard"/>
    <w:rPr>
      <w:rFonts w:ascii="Courier New" w:hAnsi="Courier New" w:cs="Times New Roman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 w:cs="Times New Roman"/>
    </w:rPr>
  </w:style>
  <w:style w:type="character" w:customStyle="1" w:styleId="WPStrong">
    <w:name w:val="WP_Strong"/>
    <w:rPr>
      <w:rFonts w:cs="Times New Roman"/>
      <w:b/>
    </w:rPr>
  </w:style>
  <w:style w:type="character" w:customStyle="1" w:styleId="Typewriter">
    <w:name w:val="Typewriter"/>
    <w:rPr>
      <w:rFonts w:ascii="Courier New" w:hAnsi="Courier New" w:cs="Times New Roman"/>
      <w:sz w:val="20"/>
    </w:rPr>
  </w:style>
  <w:style w:type="character" w:customStyle="1" w:styleId="Variable">
    <w:name w:val="Variable"/>
    <w:rPr>
      <w:rFonts w:cs="Times New Roman"/>
      <w:i/>
    </w:rPr>
  </w:style>
  <w:style w:type="character" w:customStyle="1" w:styleId="HTMLMarkup">
    <w:name w:val="HTML Markup"/>
    <w:rPr>
      <w:rFonts w:cs="Times New Roman"/>
      <w:vanish/>
      <w:color w:val="FF0000"/>
    </w:rPr>
  </w:style>
  <w:style w:type="character" w:customStyle="1" w:styleId="Comment">
    <w:name w:val="Comment"/>
    <w:rPr>
      <w:rFonts w:cs="Times New Roman"/>
      <w:vanish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  <w:ind w:firstLine="720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Aaryn</cp:lastModifiedBy>
  <cp:revision>2</cp:revision>
  <dcterms:created xsi:type="dcterms:W3CDTF">2015-01-28T16:30:00Z</dcterms:created>
  <dcterms:modified xsi:type="dcterms:W3CDTF">2017-10-04T15:24:00Z</dcterms:modified>
</cp:coreProperties>
</file>