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4" w:rsidRDefault="00004914" w:rsidP="00542FBD">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004914" w:rsidRDefault="00004914" w:rsidP="00542FBD">
      <w:pPr>
        <w:widowControl w:val="0"/>
        <w:jc w:val="both"/>
        <w:rPr>
          <w:sz w:val="26"/>
        </w:rPr>
      </w:pPr>
    </w:p>
    <w:p w:rsidR="00004914" w:rsidRDefault="00004914" w:rsidP="00542FBD">
      <w:pPr>
        <w:widowControl w:val="0"/>
        <w:tabs>
          <w:tab w:val="center" w:pos="4680"/>
        </w:tabs>
        <w:jc w:val="both"/>
        <w:rPr>
          <w:sz w:val="26"/>
        </w:rPr>
      </w:pPr>
      <w:r>
        <w:rPr>
          <w:sz w:val="26"/>
        </w:rPr>
        <w:t>STATE OF ALABAMA,</w:t>
      </w:r>
      <w:r>
        <w:rPr>
          <w:sz w:val="26"/>
        </w:rPr>
        <w:tab/>
        <w:t>*</w:t>
      </w:r>
    </w:p>
    <w:p w:rsidR="00004914" w:rsidRDefault="00004914" w:rsidP="00542FBD">
      <w:pPr>
        <w:widowControl w:val="0"/>
        <w:tabs>
          <w:tab w:val="center" w:pos="4680"/>
        </w:tabs>
        <w:jc w:val="both"/>
        <w:rPr>
          <w:sz w:val="26"/>
        </w:rPr>
      </w:pPr>
      <w:r>
        <w:rPr>
          <w:sz w:val="26"/>
        </w:rPr>
        <w:tab/>
        <w:t>*</w:t>
      </w:r>
      <w:r>
        <w:rPr>
          <w:sz w:val="26"/>
        </w:rPr>
        <w:tab/>
      </w:r>
    </w:p>
    <w:p w:rsidR="00004914" w:rsidRDefault="00542FBD" w:rsidP="00542FBD">
      <w:pPr>
        <w:widowControl w:val="0"/>
        <w:tabs>
          <w:tab w:val="center" w:pos="4680"/>
        </w:tabs>
        <w:ind w:left="720" w:right="720"/>
        <w:jc w:val="both"/>
        <w:rPr>
          <w:sz w:val="26"/>
        </w:rPr>
      </w:pPr>
      <w:r>
        <w:rPr>
          <w:sz w:val="26"/>
        </w:rPr>
        <w:t>v.</w:t>
      </w:r>
      <w:r>
        <w:rPr>
          <w:sz w:val="26"/>
        </w:rPr>
        <w:tab/>
        <w:t>*</w:t>
      </w:r>
      <w:r>
        <w:rPr>
          <w:sz w:val="26"/>
        </w:rPr>
        <w:tab/>
      </w:r>
      <w:r>
        <w:rPr>
          <w:sz w:val="26"/>
        </w:rPr>
        <w:tab/>
      </w:r>
      <w:r w:rsidR="00004914">
        <w:rPr>
          <w:sz w:val="26"/>
        </w:rPr>
        <w:t>Case No. CC-00-0000</w:t>
      </w:r>
    </w:p>
    <w:p w:rsidR="00004914" w:rsidRDefault="00004914" w:rsidP="00542FBD">
      <w:pPr>
        <w:widowControl w:val="0"/>
        <w:tabs>
          <w:tab w:val="center" w:pos="4680"/>
        </w:tabs>
        <w:jc w:val="both"/>
        <w:rPr>
          <w:sz w:val="26"/>
        </w:rPr>
      </w:pPr>
      <w:r>
        <w:rPr>
          <w:sz w:val="26"/>
        </w:rPr>
        <w:tab/>
        <w:t>*</w:t>
      </w:r>
    </w:p>
    <w:p w:rsidR="00004914" w:rsidRDefault="00004914" w:rsidP="00542FBD">
      <w:pPr>
        <w:widowControl w:val="0"/>
        <w:tabs>
          <w:tab w:val="center" w:pos="4680"/>
        </w:tabs>
        <w:jc w:val="both"/>
        <w:rPr>
          <w:sz w:val="26"/>
        </w:rPr>
      </w:pPr>
      <w:proofErr w:type="gramStart"/>
      <w:r>
        <w:rPr>
          <w:sz w:val="26"/>
        </w:rPr>
        <w:t>JOE CLIENT.</w:t>
      </w:r>
      <w:proofErr w:type="gramEnd"/>
      <w:r>
        <w:rPr>
          <w:sz w:val="26"/>
        </w:rPr>
        <w:tab/>
        <w:t>*</w:t>
      </w:r>
    </w:p>
    <w:p w:rsidR="00004914" w:rsidRDefault="00004914" w:rsidP="00542FBD">
      <w:pPr>
        <w:widowControl w:val="0"/>
        <w:jc w:val="both"/>
        <w:rPr>
          <w:sz w:val="26"/>
        </w:rPr>
      </w:pPr>
    </w:p>
    <w:p w:rsidR="00004914" w:rsidRDefault="00004914" w:rsidP="00542FBD">
      <w:pPr>
        <w:widowControl w:val="0"/>
        <w:tabs>
          <w:tab w:val="center" w:pos="4680"/>
        </w:tabs>
        <w:jc w:val="both"/>
        <w:rPr>
          <w:b/>
          <w:sz w:val="26"/>
          <w:u w:val="single"/>
        </w:rPr>
      </w:pPr>
      <w:r>
        <w:rPr>
          <w:b/>
          <w:sz w:val="26"/>
        </w:rPr>
        <w:tab/>
      </w:r>
      <w:r>
        <w:rPr>
          <w:b/>
          <w:sz w:val="26"/>
          <w:u w:val="single"/>
        </w:rPr>
        <w:t xml:space="preserve">MOTION FOR THE STATE TO REVEAL </w:t>
      </w:r>
    </w:p>
    <w:p w:rsidR="00004914" w:rsidRDefault="00004914" w:rsidP="00542FBD">
      <w:pPr>
        <w:widowControl w:val="0"/>
        <w:tabs>
          <w:tab w:val="center" w:pos="4680"/>
        </w:tabs>
        <w:jc w:val="both"/>
        <w:rPr>
          <w:b/>
          <w:sz w:val="26"/>
          <w:u w:val="single"/>
        </w:rPr>
      </w:pPr>
      <w:r>
        <w:rPr>
          <w:b/>
          <w:sz w:val="26"/>
        </w:rPr>
        <w:tab/>
      </w:r>
      <w:r>
        <w:rPr>
          <w:b/>
          <w:sz w:val="26"/>
          <w:u w:val="single"/>
        </w:rPr>
        <w:t>ALL MITIGATING CIRCUMSTANCES</w:t>
      </w:r>
    </w:p>
    <w:p w:rsidR="00004914" w:rsidRDefault="00004914" w:rsidP="00542FBD">
      <w:pPr>
        <w:widowControl w:val="0"/>
        <w:jc w:val="both"/>
        <w:rPr>
          <w:sz w:val="26"/>
        </w:rPr>
      </w:pPr>
    </w:p>
    <w:p w:rsidR="00004914" w:rsidRDefault="00004914" w:rsidP="00542FBD">
      <w:pPr>
        <w:widowControl w:val="0"/>
        <w:jc w:val="both"/>
        <w:rPr>
          <w:sz w:val="26"/>
        </w:rPr>
      </w:pPr>
      <w:r>
        <w:rPr>
          <w:sz w:val="26"/>
        </w:rPr>
        <w:tab/>
        <w:t>Mr. Client respectfully moves this Court to order the production of any mitigating evidence maintained or acquired by the State of Alabama.  In support of this motion, Mr. Client submits the following:</w:t>
      </w:r>
    </w:p>
    <w:p w:rsidR="00004914" w:rsidRDefault="00004914" w:rsidP="00542FBD">
      <w:pPr>
        <w:widowControl w:val="0"/>
        <w:jc w:val="both"/>
        <w:rPr>
          <w:sz w:val="26"/>
        </w:rPr>
      </w:pPr>
    </w:p>
    <w:p w:rsidR="00004914" w:rsidRDefault="00004914" w:rsidP="00542FBD">
      <w:pPr>
        <w:widowControl w:val="0"/>
        <w:jc w:val="both"/>
        <w:rPr>
          <w:sz w:val="26"/>
        </w:rPr>
      </w:pPr>
      <w:r>
        <w:rPr>
          <w:sz w:val="26"/>
        </w:rPr>
        <w:tab/>
        <w:t>1.</w:t>
      </w:r>
      <w:r>
        <w:rPr>
          <w:sz w:val="26"/>
        </w:rPr>
        <w:tab/>
        <w:t xml:space="preserve">Mr. Client has been charged with capital murder and the State is seeking the death penalty.  If Mr. Client is found guilty of capital murder, the trial will proceed to the sentencing phase, where the State may present evidence in support of a death sentence (aggravation) and Mr. Client will have an opportunity to present evidence in support of a sentence of life without parole (mitigation).  </w:t>
      </w:r>
      <w:proofErr w:type="gramStart"/>
      <w:r>
        <w:rPr>
          <w:sz w:val="26"/>
        </w:rPr>
        <w:t>Ala. Code § 13A-5-45(c).</w:t>
      </w:r>
      <w:proofErr w:type="gramEnd"/>
    </w:p>
    <w:p w:rsidR="00004914" w:rsidRDefault="00004914" w:rsidP="00542FBD">
      <w:pPr>
        <w:widowControl w:val="0"/>
        <w:jc w:val="both"/>
        <w:rPr>
          <w:sz w:val="26"/>
        </w:rPr>
      </w:pPr>
    </w:p>
    <w:p w:rsidR="00004914" w:rsidRDefault="00004914" w:rsidP="00542FBD">
      <w:pPr>
        <w:widowControl w:val="0"/>
        <w:jc w:val="both"/>
        <w:rPr>
          <w:sz w:val="26"/>
        </w:rPr>
      </w:pPr>
      <w:r>
        <w:rPr>
          <w:sz w:val="26"/>
        </w:rPr>
        <w:tab/>
        <w:t>2.</w:t>
      </w:r>
      <w:r>
        <w:rPr>
          <w:sz w:val="26"/>
        </w:rPr>
        <w:tab/>
        <w:t xml:space="preserve">Because “the imposition of death by public authority is so profoundly different from all other </w:t>
      </w:r>
      <w:proofErr w:type="gramStart"/>
      <w:r>
        <w:rPr>
          <w:sz w:val="26"/>
        </w:rPr>
        <w:t>penalties, . . .</w:t>
      </w:r>
      <w:proofErr w:type="gramEnd"/>
      <w:r>
        <w:rPr>
          <w:sz w:val="26"/>
        </w:rPr>
        <w:t xml:space="preserve"> an individualized decision is essential in capital cases.”  </w:t>
      </w:r>
      <w:proofErr w:type="gramStart"/>
      <w:r>
        <w:rPr>
          <w:sz w:val="26"/>
          <w:u w:val="single"/>
        </w:rPr>
        <w:t>Lockett v. Ohio</w:t>
      </w:r>
      <w:r>
        <w:rPr>
          <w:sz w:val="26"/>
        </w:rPr>
        <w:t>, 438 U.S. 586, 605 (1978).</w:t>
      </w:r>
      <w:proofErr w:type="gramEnd"/>
      <w:r>
        <w:rPr>
          <w:sz w:val="26"/>
        </w:rPr>
        <w:t xml:space="preserve">  Every capital defendant must be permitted to present, and the </w:t>
      </w:r>
      <w:proofErr w:type="spellStart"/>
      <w:r>
        <w:rPr>
          <w:sz w:val="26"/>
        </w:rPr>
        <w:t>sentencer</w:t>
      </w:r>
      <w:proofErr w:type="spellEnd"/>
      <w:r>
        <w:rPr>
          <w:sz w:val="26"/>
        </w:rPr>
        <w:t xml:space="preserve"> must consider, any mitigation evidence about the “circumstances of the offense together with the character and propensities of the offender” that would militate in favor of a sentence less than death.  </w:t>
      </w:r>
      <w:proofErr w:type="spellStart"/>
      <w:proofErr w:type="gramStart"/>
      <w:r>
        <w:rPr>
          <w:sz w:val="26"/>
          <w:u w:val="single"/>
        </w:rPr>
        <w:t>Eddings</w:t>
      </w:r>
      <w:proofErr w:type="spellEnd"/>
      <w:r>
        <w:rPr>
          <w:sz w:val="26"/>
          <w:u w:val="single"/>
        </w:rPr>
        <w:t xml:space="preserve"> v. Oklahoma</w:t>
      </w:r>
      <w:r>
        <w:rPr>
          <w:sz w:val="26"/>
        </w:rPr>
        <w:t>, 455 U.S. 104, 112 (1982) (citation omitted).</w:t>
      </w:r>
      <w:proofErr w:type="gramEnd"/>
      <w:r>
        <w:rPr>
          <w:sz w:val="26"/>
        </w:rPr>
        <w:t xml:space="preserve">  The Supreme Court has held that “[v]</w:t>
      </w:r>
      <w:proofErr w:type="spellStart"/>
      <w:r>
        <w:rPr>
          <w:sz w:val="26"/>
        </w:rPr>
        <w:t>irtually</w:t>
      </w:r>
      <w:proofErr w:type="spellEnd"/>
      <w:r>
        <w:rPr>
          <w:sz w:val="26"/>
        </w:rPr>
        <w:t xml:space="preserve"> no limits are placed on the relevant mitigating evidence a capital defendant may introduce concerning his own circumstances.”  </w:t>
      </w:r>
      <w:proofErr w:type="gramStart"/>
      <w:r>
        <w:rPr>
          <w:sz w:val="26"/>
          <w:u w:val="single"/>
        </w:rPr>
        <w:t>Payne v. Tennessee</w:t>
      </w:r>
      <w:r>
        <w:rPr>
          <w:sz w:val="26"/>
        </w:rPr>
        <w:t>, 501 U.S. 808, 822 (1991).</w:t>
      </w:r>
      <w:proofErr w:type="gramEnd"/>
    </w:p>
    <w:p w:rsidR="00004914" w:rsidRDefault="00004914" w:rsidP="00542FBD">
      <w:pPr>
        <w:widowControl w:val="0"/>
        <w:jc w:val="both"/>
        <w:rPr>
          <w:sz w:val="26"/>
        </w:rPr>
      </w:pPr>
    </w:p>
    <w:p w:rsidR="00004914" w:rsidRDefault="00004914" w:rsidP="00542FBD">
      <w:pPr>
        <w:widowControl w:val="0"/>
        <w:jc w:val="both"/>
        <w:rPr>
          <w:sz w:val="26"/>
        </w:rPr>
      </w:pPr>
      <w:r>
        <w:rPr>
          <w:sz w:val="26"/>
        </w:rPr>
        <w:tab/>
        <w:t>3.</w:t>
      </w:r>
      <w:r>
        <w:rPr>
          <w:sz w:val="26"/>
        </w:rPr>
        <w:tab/>
        <w:t xml:space="preserve">The State’s obligation to disclose favorable evidence applies to the sentencing phase in a capital case.  </w:t>
      </w:r>
      <w:r>
        <w:rPr>
          <w:sz w:val="26"/>
          <w:u w:val="single"/>
        </w:rPr>
        <w:t>Brady v. Maryland</w:t>
      </w:r>
      <w:r>
        <w:rPr>
          <w:sz w:val="26"/>
        </w:rPr>
        <w:t xml:space="preserve">, 373 U.S. 83, 87 (1963) (“[t]he suppression by the prosecution of evidence favorable to an accused upon request violates due process where the evidence is material either to guilt </w:t>
      </w:r>
      <w:r>
        <w:rPr>
          <w:i/>
          <w:sz w:val="26"/>
        </w:rPr>
        <w:t>or to punishment</w:t>
      </w:r>
      <w:r>
        <w:rPr>
          <w:sz w:val="26"/>
        </w:rPr>
        <w:t xml:space="preserve">”) (emphasis added); </w:t>
      </w:r>
      <w:r>
        <w:rPr>
          <w:sz w:val="26"/>
          <w:u w:val="single"/>
        </w:rPr>
        <w:t>see also</w:t>
      </w:r>
      <w:r>
        <w:rPr>
          <w:sz w:val="26"/>
        </w:rPr>
        <w:t xml:space="preserve"> </w:t>
      </w:r>
      <w:r>
        <w:rPr>
          <w:sz w:val="26"/>
          <w:u w:val="single"/>
        </w:rPr>
        <w:t>Ex parte Monk</w:t>
      </w:r>
      <w:r>
        <w:rPr>
          <w:sz w:val="26"/>
        </w:rPr>
        <w:t xml:space="preserve">, 557 So. 2d 832, 837 (Ala. 1989) (concluding that </w:t>
      </w:r>
      <w:r>
        <w:rPr>
          <w:sz w:val="26"/>
          <w:u w:val="single"/>
        </w:rPr>
        <w:t>Brady</w:t>
      </w:r>
      <w:r>
        <w:rPr>
          <w:sz w:val="26"/>
        </w:rPr>
        <w:t xml:space="preserve"> “extends to evidence favorable on the issue of sentencing as well as on the issue of guilt”); </w:t>
      </w:r>
      <w:r>
        <w:rPr>
          <w:sz w:val="26"/>
          <w:u w:val="single"/>
        </w:rPr>
        <w:t>Davis v. State</w:t>
      </w:r>
      <w:r>
        <w:rPr>
          <w:sz w:val="26"/>
        </w:rPr>
        <w:t xml:space="preserve">, 184 So. </w:t>
      </w:r>
      <w:proofErr w:type="gramStart"/>
      <w:r>
        <w:rPr>
          <w:sz w:val="26"/>
        </w:rPr>
        <w:t>3d 415 (Ala. Crim. App. 2014).</w:t>
      </w:r>
      <w:proofErr w:type="gramEnd"/>
    </w:p>
    <w:p w:rsidR="00004914" w:rsidRDefault="00004914" w:rsidP="00542FBD">
      <w:pPr>
        <w:widowControl w:val="0"/>
        <w:jc w:val="both"/>
        <w:rPr>
          <w:sz w:val="26"/>
        </w:rPr>
      </w:pPr>
    </w:p>
    <w:p w:rsidR="00542FBD" w:rsidRDefault="00542FBD" w:rsidP="00542FBD">
      <w:pPr>
        <w:widowControl w:val="0"/>
        <w:jc w:val="both"/>
        <w:rPr>
          <w:sz w:val="26"/>
        </w:rPr>
      </w:pPr>
    </w:p>
    <w:p w:rsidR="00004914" w:rsidRDefault="00004914" w:rsidP="00542FBD">
      <w:pPr>
        <w:widowControl w:val="0"/>
        <w:jc w:val="both"/>
        <w:rPr>
          <w:sz w:val="26"/>
        </w:rPr>
      </w:pPr>
      <w:r>
        <w:rPr>
          <w:sz w:val="26"/>
        </w:rPr>
        <w:lastRenderedPageBreak/>
        <w:tab/>
        <w:t>4.</w:t>
      </w:r>
      <w:r>
        <w:rPr>
          <w:sz w:val="26"/>
        </w:rPr>
        <w:tab/>
        <w:t>In light of the State’s ongoing obligation to turn over any information favorable to Mr. Client with regard to the sentencing phase of his trial, Mr. Client requests that this Court order the prosecution to disclose to undersigned counsel and permit him access to all mitigating evidence and information that could lead to the discovery of mitigating evidence.</w:t>
      </w:r>
    </w:p>
    <w:p w:rsidR="00004914" w:rsidRDefault="00004914" w:rsidP="00542FBD">
      <w:pPr>
        <w:widowControl w:val="0"/>
        <w:jc w:val="both"/>
        <w:rPr>
          <w:sz w:val="26"/>
        </w:rPr>
      </w:pPr>
    </w:p>
    <w:p w:rsidR="00004914" w:rsidRDefault="00004914" w:rsidP="00542FBD">
      <w:pPr>
        <w:widowControl w:val="0"/>
        <w:ind w:left="1440" w:hanging="1440"/>
        <w:jc w:val="both"/>
        <w:rPr>
          <w:sz w:val="26"/>
        </w:rPr>
      </w:pPr>
      <w:r>
        <w:rPr>
          <w:sz w:val="26"/>
        </w:rPr>
        <w:tab/>
        <w:t>5.</w:t>
      </w:r>
      <w:r>
        <w:rPr>
          <w:sz w:val="26"/>
        </w:rPr>
        <w:tab/>
        <w:t xml:space="preserve">The requested evidence and information includes but is not limited to the following: </w:t>
      </w:r>
    </w:p>
    <w:p w:rsidR="00004914" w:rsidRDefault="00004914" w:rsidP="00542FBD">
      <w:pPr>
        <w:widowControl w:val="0"/>
        <w:jc w:val="both"/>
        <w:rPr>
          <w:sz w:val="26"/>
        </w:rPr>
      </w:pPr>
    </w:p>
    <w:p w:rsidR="00004914" w:rsidRDefault="00004914" w:rsidP="00542FBD">
      <w:pPr>
        <w:widowControl w:val="0"/>
        <w:jc w:val="both"/>
        <w:rPr>
          <w:sz w:val="26"/>
        </w:rPr>
      </w:pPr>
      <w:r>
        <w:rPr>
          <w:sz w:val="26"/>
        </w:rPr>
        <w:tab/>
      </w:r>
      <w:r>
        <w:rPr>
          <w:sz w:val="26"/>
        </w:rPr>
        <w:tab/>
      </w:r>
      <w:proofErr w:type="gramStart"/>
      <w:r>
        <w:rPr>
          <w:sz w:val="26"/>
        </w:rPr>
        <w:t>a</w:t>
      </w:r>
      <w:proofErr w:type="gramEnd"/>
      <w:r>
        <w:rPr>
          <w:sz w:val="26"/>
        </w:rPr>
        <w:t>.</w:t>
      </w:r>
      <w:r>
        <w:rPr>
          <w:sz w:val="26"/>
        </w:rPr>
        <w:tab/>
        <w:t>any and all information regarding Mr. Client’s criminal history;</w:t>
      </w:r>
    </w:p>
    <w:p w:rsidR="00004914" w:rsidRDefault="00004914" w:rsidP="00542FBD">
      <w:pPr>
        <w:widowControl w:val="0"/>
        <w:jc w:val="both"/>
        <w:rPr>
          <w:sz w:val="26"/>
        </w:rPr>
      </w:pPr>
    </w:p>
    <w:p w:rsidR="00004914" w:rsidRDefault="00004914" w:rsidP="00542FBD">
      <w:pPr>
        <w:widowControl w:val="0"/>
        <w:ind w:left="2160" w:hanging="1440"/>
        <w:jc w:val="both"/>
        <w:rPr>
          <w:sz w:val="26"/>
        </w:rPr>
      </w:pPr>
      <w:r>
        <w:rPr>
          <w:sz w:val="26"/>
        </w:rPr>
        <w:tab/>
      </w:r>
      <w:proofErr w:type="gramStart"/>
      <w:r>
        <w:rPr>
          <w:sz w:val="26"/>
        </w:rPr>
        <w:t>b</w:t>
      </w:r>
      <w:proofErr w:type="gramEnd"/>
      <w:r>
        <w:rPr>
          <w:sz w:val="26"/>
        </w:rPr>
        <w:t>.</w:t>
      </w:r>
      <w:r>
        <w:rPr>
          <w:sz w:val="26"/>
        </w:rPr>
        <w:tab/>
        <w:t xml:space="preserve">any and all information that would support a showing that this offense was committed while Mr. Client was under the influence of mental or emotional disturbance; </w:t>
      </w:r>
    </w:p>
    <w:p w:rsidR="00004914" w:rsidRDefault="00004914" w:rsidP="00542FBD">
      <w:pPr>
        <w:widowControl w:val="0"/>
        <w:jc w:val="both"/>
        <w:rPr>
          <w:sz w:val="26"/>
        </w:rPr>
      </w:pPr>
    </w:p>
    <w:p w:rsidR="00004914" w:rsidRDefault="00004914" w:rsidP="00542FBD">
      <w:pPr>
        <w:widowControl w:val="0"/>
        <w:ind w:left="2160" w:hanging="720"/>
        <w:jc w:val="both"/>
        <w:rPr>
          <w:sz w:val="26"/>
        </w:rPr>
      </w:pPr>
      <w:proofErr w:type="gramStart"/>
      <w:r>
        <w:rPr>
          <w:sz w:val="26"/>
        </w:rPr>
        <w:t>c</w:t>
      </w:r>
      <w:proofErr w:type="gramEnd"/>
      <w:r>
        <w:rPr>
          <w:sz w:val="26"/>
        </w:rPr>
        <w:t>.</w:t>
      </w:r>
      <w:r>
        <w:rPr>
          <w:sz w:val="26"/>
        </w:rPr>
        <w:tab/>
        <w:t xml:space="preserve">any and all information regarding the victim’s participation in the alleged conduct; </w:t>
      </w:r>
    </w:p>
    <w:p w:rsidR="00004914" w:rsidRDefault="00004914" w:rsidP="00542FBD">
      <w:pPr>
        <w:widowControl w:val="0"/>
        <w:jc w:val="both"/>
        <w:rPr>
          <w:sz w:val="26"/>
        </w:rPr>
      </w:pPr>
      <w:r>
        <w:rPr>
          <w:sz w:val="26"/>
        </w:rPr>
        <w:tab/>
      </w:r>
    </w:p>
    <w:p w:rsidR="00004914" w:rsidRDefault="00004914" w:rsidP="00542FBD">
      <w:pPr>
        <w:widowControl w:val="0"/>
        <w:ind w:left="2160" w:hanging="720"/>
        <w:jc w:val="both"/>
        <w:rPr>
          <w:sz w:val="26"/>
        </w:rPr>
      </w:pPr>
      <w:r>
        <w:rPr>
          <w:sz w:val="26"/>
        </w:rPr>
        <w:t>d.</w:t>
      </w:r>
      <w:r>
        <w:rPr>
          <w:sz w:val="26"/>
        </w:rPr>
        <w:tab/>
        <w:t>any and all information regarding Mr. Client’s relative culpability with respect to the charged offense; specifically, any information indicating that the defendant was an accomplice in the capital offense committed by another person or that his participation was relatively minor;</w:t>
      </w:r>
    </w:p>
    <w:p w:rsidR="00004914" w:rsidRDefault="00004914" w:rsidP="00542FBD">
      <w:pPr>
        <w:widowControl w:val="0"/>
        <w:jc w:val="both"/>
        <w:rPr>
          <w:sz w:val="26"/>
        </w:rPr>
      </w:pPr>
    </w:p>
    <w:p w:rsidR="00004914" w:rsidRDefault="00004914" w:rsidP="00542FBD">
      <w:pPr>
        <w:widowControl w:val="0"/>
        <w:ind w:left="2160" w:hanging="720"/>
        <w:jc w:val="both"/>
        <w:rPr>
          <w:sz w:val="26"/>
        </w:rPr>
      </w:pPr>
      <w:proofErr w:type="gramStart"/>
      <w:r>
        <w:rPr>
          <w:sz w:val="26"/>
        </w:rPr>
        <w:t>e</w:t>
      </w:r>
      <w:proofErr w:type="gramEnd"/>
      <w:r>
        <w:rPr>
          <w:sz w:val="26"/>
        </w:rPr>
        <w:t>.</w:t>
      </w:r>
      <w:r>
        <w:rPr>
          <w:sz w:val="26"/>
        </w:rPr>
        <w:tab/>
        <w:t>any and all information tending to establish that the defendant acted under extreme duress or under the substantial domination of another person;</w:t>
      </w:r>
    </w:p>
    <w:p w:rsidR="00004914" w:rsidRDefault="00004914" w:rsidP="00542FBD">
      <w:pPr>
        <w:widowControl w:val="0"/>
        <w:jc w:val="both"/>
        <w:rPr>
          <w:sz w:val="26"/>
        </w:rPr>
      </w:pPr>
    </w:p>
    <w:p w:rsidR="00004914" w:rsidRDefault="00004914" w:rsidP="00542FBD">
      <w:pPr>
        <w:widowControl w:val="0"/>
        <w:ind w:left="2160" w:hanging="720"/>
        <w:jc w:val="both"/>
        <w:rPr>
          <w:sz w:val="26"/>
        </w:rPr>
      </w:pPr>
      <w:proofErr w:type="gramStart"/>
      <w:r>
        <w:rPr>
          <w:sz w:val="26"/>
        </w:rPr>
        <w:t>f</w:t>
      </w:r>
      <w:proofErr w:type="gramEnd"/>
      <w:r>
        <w:rPr>
          <w:sz w:val="26"/>
        </w:rPr>
        <w:t>.</w:t>
      </w:r>
      <w:r>
        <w:rPr>
          <w:sz w:val="26"/>
        </w:rPr>
        <w:tab/>
        <w:t>any and all information relating to Mr. Client’s capacity to appreciate the criminality of his conduct or to conform his conduct to the requirements of law;</w:t>
      </w:r>
    </w:p>
    <w:p w:rsidR="00004914" w:rsidRDefault="00004914" w:rsidP="00542FBD">
      <w:pPr>
        <w:widowControl w:val="0"/>
        <w:jc w:val="both"/>
        <w:rPr>
          <w:sz w:val="26"/>
        </w:rPr>
      </w:pPr>
    </w:p>
    <w:p w:rsidR="00004914" w:rsidRDefault="00004914" w:rsidP="00542FBD">
      <w:pPr>
        <w:widowControl w:val="0"/>
        <w:ind w:left="2160" w:hanging="720"/>
        <w:jc w:val="both"/>
        <w:rPr>
          <w:sz w:val="26"/>
        </w:rPr>
      </w:pPr>
      <w:proofErr w:type="gramStart"/>
      <w:r>
        <w:rPr>
          <w:sz w:val="26"/>
        </w:rPr>
        <w:t>g</w:t>
      </w:r>
      <w:proofErr w:type="gramEnd"/>
      <w:r>
        <w:rPr>
          <w:sz w:val="26"/>
        </w:rPr>
        <w:t>.</w:t>
      </w:r>
      <w:r>
        <w:rPr>
          <w:sz w:val="26"/>
        </w:rPr>
        <w:tab/>
        <w:t>any and all information relating to Mr. Client’s age at the time of the alleged offense;</w:t>
      </w:r>
    </w:p>
    <w:p w:rsidR="00004914" w:rsidRDefault="00004914" w:rsidP="00542FBD">
      <w:pPr>
        <w:widowControl w:val="0"/>
        <w:jc w:val="both"/>
        <w:rPr>
          <w:sz w:val="26"/>
        </w:rPr>
      </w:pPr>
    </w:p>
    <w:p w:rsidR="00004914" w:rsidRDefault="00004914" w:rsidP="00542FBD">
      <w:pPr>
        <w:widowControl w:val="0"/>
        <w:ind w:left="2160" w:hanging="1440"/>
        <w:jc w:val="both"/>
        <w:rPr>
          <w:sz w:val="26"/>
        </w:rPr>
      </w:pPr>
      <w:r>
        <w:rPr>
          <w:sz w:val="26"/>
        </w:rPr>
        <w:tab/>
        <w:t>h.</w:t>
      </w:r>
      <w:r>
        <w:rPr>
          <w:sz w:val="26"/>
        </w:rPr>
        <w:tab/>
        <w:t xml:space="preserve">any and all information relating to Mr. Client’s conduct while in jail or prison, </w:t>
      </w:r>
      <w:r>
        <w:rPr>
          <w:sz w:val="26"/>
          <w:u w:val="single"/>
        </w:rPr>
        <w:t>see</w:t>
      </w:r>
      <w:r>
        <w:rPr>
          <w:sz w:val="26"/>
        </w:rPr>
        <w:t xml:space="preserve"> </w:t>
      </w:r>
      <w:r>
        <w:rPr>
          <w:sz w:val="26"/>
          <w:u w:val="single"/>
        </w:rPr>
        <w:t>Skipper v. South Carolina</w:t>
      </w:r>
      <w:r>
        <w:rPr>
          <w:sz w:val="26"/>
        </w:rPr>
        <w:t xml:space="preserve">, 476 U.S. 1, 7 (1986); </w:t>
      </w:r>
      <w:r>
        <w:rPr>
          <w:sz w:val="26"/>
          <w:u w:val="single"/>
        </w:rPr>
        <w:t>Morrison v. State</w:t>
      </w:r>
      <w:r>
        <w:rPr>
          <w:sz w:val="26"/>
        </w:rPr>
        <w:t>, 551 So. 2d 435, 443 (Ala. Crim. App. 1989);</w:t>
      </w:r>
    </w:p>
    <w:p w:rsidR="00004914" w:rsidRDefault="00004914" w:rsidP="00542FBD">
      <w:pPr>
        <w:widowControl w:val="0"/>
        <w:jc w:val="both"/>
        <w:rPr>
          <w:sz w:val="26"/>
        </w:rPr>
      </w:pPr>
    </w:p>
    <w:p w:rsidR="00542FBD" w:rsidRDefault="00542FBD" w:rsidP="00542FBD">
      <w:pPr>
        <w:widowControl w:val="0"/>
        <w:jc w:val="both"/>
        <w:rPr>
          <w:sz w:val="26"/>
        </w:rPr>
      </w:pPr>
    </w:p>
    <w:p w:rsidR="00542FBD" w:rsidRDefault="00542FBD" w:rsidP="00542FBD">
      <w:pPr>
        <w:widowControl w:val="0"/>
        <w:jc w:val="both"/>
        <w:rPr>
          <w:sz w:val="26"/>
        </w:rPr>
      </w:pPr>
    </w:p>
    <w:p w:rsidR="00004914" w:rsidRDefault="00004914" w:rsidP="00542FBD">
      <w:pPr>
        <w:widowControl w:val="0"/>
        <w:ind w:left="2160" w:hanging="1440"/>
        <w:jc w:val="both"/>
        <w:rPr>
          <w:sz w:val="26"/>
        </w:rPr>
      </w:pPr>
      <w:r>
        <w:rPr>
          <w:sz w:val="26"/>
        </w:rPr>
        <w:lastRenderedPageBreak/>
        <w:tab/>
      </w:r>
      <w:proofErr w:type="spellStart"/>
      <w:r>
        <w:rPr>
          <w:sz w:val="26"/>
        </w:rPr>
        <w:t>i</w:t>
      </w:r>
      <w:proofErr w:type="spellEnd"/>
      <w:r>
        <w:rPr>
          <w:sz w:val="26"/>
        </w:rPr>
        <w:t>.</w:t>
      </w:r>
      <w:r>
        <w:rPr>
          <w:sz w:val="26"/>
        </w:rPr>
        <w:tab/>
        <w:t xml:space="preserve">any and all information relating to Mr. Client’s work history, </w:t>
      </w:r>
      <w:r>
        <w:rPr>
          <w:sz w:val="26"/>
          <w:u w:val="single"/>
        </w:rPr>
        <w:t>see, e.g.</w:t>
      </w:r>
      <w:r>
        <w:rPr>
          <w:sz w:val="26"/>
        </w:rPr>
        <w:t xml:space="preserve">,  </w:t>
      </w:r>
      <w:r>
        <w:rPr>
          <w:sz w:val="26"/>
          <w:u w:val="single"/>
        </w:rPr>
        <w:t xml:space="preserve">Pooler v. </w:t>
      </w:r>
      <w:proofErr w:type="spellStart"/>
      <w:r>
        <w:rPr>
          <w:sz w:val="26"/>
          <w:u w:val="single"/>
        </w:rPr>
        <w:t>Sec’y</w:t>
      </w:r>
      <w:proofErr w:type="spellEnd"/>
      <w:r>
        <w:rPr>
          <w:sz w:val="26"/>
          <w:u w:val="single"/>
        </w:rPr>
        <w:t>, Fla. Dep’t of Corr.</w:t>
      </w:r>
      <w:r>
        <w:rPr>
          <w:sz w:val="26"/>
        </w:rPr>
        <w:t xml:space="preserve">, 702 F.3d 1252, 1262 (11th Cir. 2012); </w:t>
      </w:r>
      <w:r>
        <w:rPr>
          <w:sz w:val="26"/>
          <w:u w:val="single"/>
        </w:rPr>
        <w:t>Suggs v. McNeil</w:t>
      </w:r>
      <w:r>
        <w:rPr>
          <w:sz w:val="26"/>
        </w:rPr>
        <w:t xml:space="preserve">, 609 F.3d 1218, 1222 (11th Cir. 2010); </w:t>
      </w:r>
      <w:r>
        <w:rPr>
          <w:sz w:val="26"/>
          <w:u w:val="single"/>
        </w:rPr>
        <w:t>Jackson v. Herring</w:t>
      </w:r>
      <w:r>
        <w:rPr>
          <w:sz w:val="26"/>
        </w:rPr>
        <w:t xml:space="preserve">, 42 F.3d 1350, 1367 (11th Cir. 1995); </w:t>
      </w:r>
    </w:p>
    <w:p w:rsidR="00004914" w:rsidRDefault="00004914" w:rsidP="00542FBD">
      <w:pPr>
        <w:widowControl w:val="0"/>
        <w:jc w:val="both"/>
        <w:rPr>
          <w:sz w:val="26"/>
        </w:rPr>
      </w:pPr>
    </w:p>
    <w:p w:rsidR="00004914" w:rsidRDefault="00542FBD" w:rsidP="00542FBD">
      <w:pPr>
        <w:widowControl w:val="0"/>
        <w:ind w:left="2160" w:hanging="720"/>
        <w:jc w:val="both"/>
        <w:rPr>
          <w:sz w:val="26"/>
        </w:rPr>
      </w:pPr>
      <w:proofErr w:type="gramStart"/>
      <w:r>
        <w:rPr>
          <w:sz w:val="26"/>
        </w:rPr>
        <w:t>j</w:t>
      </w:r>
      <w:proofErr w:type="gramEnd"/>
      <w:r>
        <w:rPr>
          <w:sz w:val="26"/>
        </w:rPr>
        <w:t>.</w:t>
      </w:r>
      <w:r>
        <w:rPr>
          <w:sz w:val="26"/>
        </w:rPr>
        <w:tab/>
      </w:r>
      <w:r w:rsidR="00004914">
        <w:rPr>
          <w:sz w:val="26"/>
        </w:rPr>
        <w:t xml:space="preserve">any and all information relating to Mr. Client’s reputation in the community, </w:t>
      </w:r>
      <w:r w:rsidR="00004914">
        <w:rPr>
          <w:sz w:val="26"/>
          <w:u w:val="single"/>
        </w:rPr>
        <w:t>see, e.g.</w:t>
      </w:r>
      <w:r w:rsidR="00004914">
        <w:rPr>
          <w:sz w:val="26"/>
        </w:rPr>
        <w:t xml:space="preserve">, </w:t>
      </w:r>
      <w:r w:rsidR="00004914">
        <w:rPr>
          <w:sz w:val="26"/>
          <w:u w:val="single"/>
        </w:rPr>
        <w:t>Pooler</w:t>
      </w:r>
      <w:r w:rsidR="00004914">
        <w:rPr>
          <w:sz w:val="26"/>
        </w:rPr>
        <w:t xml:space="preserve">, 702 F.3d at 1262; </w:t>
      </w:r>
      <w:r w:rsidR="00004914">
        <w:rPr>
          <w:sz w:val="26"/>
          <w:u w:val="single"/>
        </w:rPr>
        <w:t>Collier v. Turpin</w:t>
      </w:r>
      <w:r w:rsidR="00004914">
        <w:rPr>
          <w:sz w:val="26"/>
        </w:rPr>
        <w:t>, 177 F.3d 1184, 1202 (11th Cir. 1999);</w:t>
      </w:r>
    </w:p>
    <w:p w:rsidR="00004914" w:rsidRDefault="00004914" w:rsidP="00542FBD">
      <w:pPr>
        <w:widowControl w:val="0"/>
        <w:jc w:val="both"/>
        <w:rPr>
          <w:sz w:val="26"/>
        </w:rPr>
      </w:pPr>
    </w:p>
    <w:p w:rsidR="00004914" w:rsidRDefault="00004914" w:rsidP="00542FBD">
      <w:pPr>
        <w:widowControl w:val="0"/>
        <w:ind w:left="2160" w:hanging="2160"/>
        <w:jc w:val="both"/>
        <w:rPr>
          <w:sz w:val="26"/>
        </w:rPr>
      </w:pPr>
      <w:r>
        <w:rPr>
          <w:sz w:val="26"/>
        </w:rPr>
        <w:tab/>
      </w:r>
      <w:r>
        <w:rPr>
          <w:sz w:val="26"/>
        </w:rPr>
        <w:tab/>
        <w:t>k.</w:t>
      </w:r>
      <w:r>
        <w:rPr>
          <w:sz w:val="26"/>
        </w:rPr>
        <w:tab/>
        <w:t xml:space="preserve">any and all information relating to Mr. Client’s home life as an adult and as a child, </w:t>
      </w:r>
      <w:r>
        <w:rPr>
          <w:sz w:val="26"/>
          <w:u w:val="single"/>
        </w:rPr>
        <w:t>see, e.g.</w:t>
      </w:r>
      <w:r>
        <w:rPr>
          <w:sz w:val="26"/>
        </w:rPr>
        <w:t xml:space="preserve">, </w:t>
      </w:r>
      <w:r>
        <w:rPr>
          <w:sz w:val="26"/>
          <w:u w:val="single"/>
        </w:rPr>
        <w:t xml:space="preserve">Harris v. </w:t>
      </w:r>
      <w:proofErr w:type="spellStart"/>
      <w:r>
        <w:rPr>
          <w:sz w:val="26"/>
          <w:u w:val="single"/>
        </w:rPr>
        <w:t>Dugger</w:t>
      </w:r>
      <w:proofErr w:type="spellEnd"/>
      <w:r>
        <w:rPr>
          <w:sz w:val="26"/>
        </w:rPr>
        <w:t>, 874 F.2d 756, 763 (11th Cir. 1989);</w:t>
      </w:r>
    </w:p>
    <w:p w:rsidR="00004914" w:rsidRDefault="00004914" w:rsidP="00542FBD">
      <w:pPr>
        <w:widowControl w:val="0"/>
        <w:jc w:val="both"/>
        <w:rPr>
          <w:sz w:val="26"/>
        </w:rPr>
      </w:pPr>
    </w:p>
    <w:p w:rsidR="00004914" w:rsidRDefault="00004914" w:rsidP="00542FBD">
      <w:pPr>
        <w:widowControl w:val="0"/>
        <w:ind w:left="2160" w:hanging="720"/>
        <w:jc w:val="both"/>
        <w:rPr>
          <w:sz w:val="26"/>
        </w:rPr>
      </w:pPr>
      <w:r>
        <w:rPr>
          <w:sz w:val="26"/>
        </w:rPr>
        <w:t xml:space="preserve">l. </w:t>
      </w:r>
      <w:r>
        <w:rPr>
          <w:sz w:val="26"/>
        </w:rPr>
        <w:tab/>
        <w:t xml:space="preserve">any and all information relating to Mr. Client’s remorse, </w:t>
      </w:r>
      <w:r>
        <w:rPr>
          <w:sz w:val="26"/>
          <w:u w:val="single"/>
        </w:rPr>
        <w:t>see, e.g.</w:t>
      </w:r>
      <w:r>
        <w:rPr>
          <w:sz w:val="26"/>
        </w:rPr>
        <w:t xml:space="preserve">, </w:t>
      </w:r>
      <w:r>
        <w:rPr>
          <w:sz w:val="26"/>
          <w:u w:val="single"/>
        </w:rPr>
        <w:t xml:space="preserve">Troy v. </w:t>
      </w:r>
      <w:proofErr w:type="spellStart"/>
      <w:r>
        <w:rPr>
          <w:sz w:val="26"/>
          <w:u w:val="single"/>
        </w:rPr>
        <w:t>Sec’y</w:t>
      </w:r>
      <w:proofErr w:type="spellEnd"/>
      <w:r>
        <w:rPr>
          <w:sz w:val="26"/>
          <w:u w:val="single"/>
        </w:rPr>
        <w:t>, Fla. Dep’t of Corr.</w:t>
      </w:r>
      <w:r>
        <w:rPr>
          <w:sz w:val="26"/>
        </w:rPr>
        <w:t xml:space="preserve">, 763 F.3d 1308, 1310 (11th Cir. 2014);  </w:t>
      </w:r>
      <w:r>
        <w:rPr>
          <w:sz w:val="26"/>
          <w:u w:val="single"/>
        </w:rPr>
        <w:t xml:space="preserve">Magill v. </w:t>
      </w:r>
      <w:proofErr w:type="spellStart"/>
      <w:r>
        <w:rPr>
          <w:sz w:val="26"/>
          <w:u w:val="single"/>
        </w:rPr>
        <w:t>Dugger</w:t>
      </w:r>
      <w:proofErr w:type="spellEnd"/>
      <w:r>
        <w:rPr>
          <w:sz w:val="26"/>
        </w:rPr>
        <w:t>, 824 F.2d 879, 892-93 (11th Cir. 1987);</w:t>
      </w:r>
    </w:p>
    <w:p w:rsidR="00004914" w:rsidRDefault="00004914" w:rsidP="00542FBD">
      <w:pPr>
        <w:widowControl w:val="0"/>
        <w:jc w:val="both"/>
        <w:rPr>
          <w:sz w:val="26"/>
        </w:rPr>
      </w:pPr>
    </w:p>
    <w:p w:rsidR="00004914" w:rsidRDefault="00004914" w:rsidP="00542FBD">
      <w:pPr>
        <w:widowControl w:val="0"/>
        <w:ind w:left="2160" w:hanging="720"/>
        <w:jc w:val="both"/>
        <w:rPr>
          <w:sz w:val="26"/>
        </w:rPr>
      </w:pPr>
      <w:r>
        <w:rPr>
          <w:sz w:val="26"/>
        </w:rPr>
        <w:t>m.</w:t>
      </w:r>
      <w:r>
        <w:rPr>
          <w:sz w:val="26"/>
        </w:rPr>
        <w:tab/>
        <w:t xml:space="preserve">any and all information relating to Mr. Client’s mental health history, </w:t>
      </w:r>
      <w:r>
        <w:rPr>
          <w:sz w:val="26"/>
          <w:u w:val="single"/>
        </w:rPr>
        <w:t>see, e.g.</w:t>
      </w:r>
      <w:r>
        <w:rPr>
          <w:sz w:val="26"/>
        </w:rPr>
        <w:t xml:space="preserve">,  </w:t>
      </w:r>
      <w:r>
        <w:rPr>
          <w:sz w:val="26"/>
          <w:u w:val="single"/>
        </w:rPr>
        <w:t>Porter v. McCollum</w:t>
      </w:r>
      <w:r>
        <w:rPr>
          <w:sz w:val="26"/>
        </w:rPr>
        <w:t xml:space="preserve">, 558 U.S. 30, 32-33 (2009); </w:t>
      </w:r>
      <w:proofErr w:type="spellStart"/>
      <w:r>
        <w:rPr>
          <w:sz w:val="26"/>
          <w:u w:val="single"/>
        </w:rPr>
        <w:t>Harwick</w:t>
      </w:r>
      <w:proofErr w:type="spellEnd"/>
      <w:r>
        <w:rPr>
          <w:sz w:val="26"/>
          <w:u w:val="single"/>
        </w:rPr>
        <w:t xml:space="preserve"> v. Crosby</w:t>
      </w:r>
      <w:r>
        <w:rPr>
          <w:sz w:val="26"/>
        </w:rPr>
        <w:t xml:space="preserve">, 320 F.3d 1127, 1173 (11th Cir. 2003); </w:t>
      </w:r>
      <w:r>
        <w:rPr>
          <w:sz w:val="26"/>
          <w:u w:val="single"/>
        </w:rPr>
        <w:t>Moody v. State</w:t>
      </w:r>
      <w:r>
        <w:rPr>
          <w:sz w:val="26"/>
        </w:rPr>
        <w:t>, 888 So. 2d 532, 604 (Ala. Crim. App. 2003);</w:t>
      </w:r>
    </w:p>
    <w:p w:rsidR="00004914" w:rsidRDefault="00004914" w:rsidP="00542FBD">
      <w:pPr>
        <w:widowControl w:val="0"/>
        <w:jc w:val="both"/>
        <w:rPr>
          <w:sz w:val="26"/>
        </w:rPr>
      </w:pPr>
    </w:p>
    <w:p w:rsidR="00004914" w:rsidRDefault="00004914" w:rsidP="00542FBD">
      <w:pPr>
        <w:widowControl w:val="0"/>
        <w:ind w:left="2160" w:hanging="1440"/>
        <w:jc w:val="both"/>
        <w:rPr>
          <w:sz w:val="26"/>
        </w:rPr>
      </w:pPr>
      <w:r>
        <w:rPr>
          <w:sz w:val="26"/>
        </w:rPr>
        <w:tab/>
        <w:t>n.</w:t>
      </w:r>
      <w:r>
        <w:rPr>
          <w:sz w:val="26"/>
        </w:rPr>
        <w:tab/>
        <w:t xml:space="preserve">any and all information relating to defendant’s intellectual disability or </w:t>
      </w:r>
      <w:proofErr w:type="spellStart"/>
      <w:r>
        <w:rPr>
          <w:sz w:val="26"/>
        </w:rPr>
        <w:t>subaverage</w:t>
      </w:r>
      <w:proofErr w:type="spellEnd"/>
      <w:r>
        <w:rPr>
          <w:sz w:val="26"/>
        </w:rPr>
        <w:t xml:space="preserve"> intellectual functioning, </w:t>
      </w:r>
      <w:r>
        <w:rPr>
          <w:sz w:val="26"/>
          <w:u w:val="single"/>
        </w:rPr>
        <w:t>see, e.g.</w:t>
      </w:r>
      <w:r>
        <w:rPr>
          <w:sz w:val="26"/>
        </w:rPr>
        <w:t xml:space="preserve">, </w:t>
      </w:r>
      <w:r>
        <w:rPr>
          <w:sz w:val="26"/>
          <w:u w:val="single"/>
        </w:rPr>
        <w:t>Porter</w:t>
      </w:r>
      <w:r>
        <w:rPr>
          <w:sz w:val="26"/>
        </w:rPr>
        <w:t xml:space="preserve">, 558 U.S. at 32-33; </w:t>
      </w:r>
      <w:r>
        <w:rPr>
          <w:sz w:val="26"/>
          <w:u w:val="single"/>
        </w:rPr>
        <w:t>Williams v. Taylor</w:t>
      </w:r>
      <w:r>
        <w:rPr>
          <w:sz w:val="26"/>
        </w:rPr>
        <w:t xml:space="preserve">, 529 U.S. 362, 396 (2000); </w:t>
      </w:r>
      <w:r>
        <w:rPr>
          <w:sz w:val="26"/>
          <w:u w:val="single"/>
        </w:rPr>
        <w:t xml:space="preserve">Daniel v. </w:t>
      </w:r>
      <w:proofErr w:type="spellStart"/>
      <w:r>
        <w:rPr>
          <w:sz w:val="26"/>
          <w:u w:val="single"/>
        </w:rPr>
        <w:t>Comm’r</w:t>
      </w:r>
      <w:proofErr w:type="spellEnd"/>
      <w:r>
        <w:rPr>
          <w:sz w:val="26"/>
          <w:u w:val="single"/>
        </w:rPr>
        <w:t>, Ala. Dep’t of Corr.</w:t>
      </w:r>
      <w:r>
        <w:rPr>
          <w:sz w:val="26"/>
        </w:rPr>
        <w:t xml:space="preserve">, 822 F.3d 1248, 1269-70 (11th Cir. 2016); </w:t>
      </w:r>
      <w:r>
        <w:rPr>
          <w:sz w:val="26"/>
          <w:u w:val="single"/>
        </w:rPr>
        <w:t>Brownlee v. Haley</w:t>
      </w:r>
      <w:r>
        <w:rPr>
          <w:sz w:val="26"/>
        </w:rPr>
        <w:t xml:space="preserve">, 306 F.3d 1043, 1055 (11th Cir. 2002); </w:t>
      </w:r>
    </w:p>
    <w:p w:rsidR="00004914" w:rsidRDefault="00004914" w:rsidP="00542FBD">
      <w:pPr>
        <w:widowControl w:val="0"/>
        <w:jc w:val="both"/>
        <w:rPr>
          <w:sz w:val="26"/>
        </w:rPr>
      </w:pPr>
    </w:p>
    <w:p w:rsidR="00004914" w:rsidRDefault="00004914" w:rsidP="00542FBD">
      <w:pPr>
        <w:widowControl w:val="0"/>
        <w:ind w:left="2160" w:hanging="720"/>
        <w:jc w:val="both"/>
        <w:rPr>
          <w:sz w:val="26"/>
        </w:rPr>
      </w:pPr>
      <w:r>
        <w:rPr>
          <w:sz w:val="26"/>
        </w:rPr>
        <w:t>o.</w:t>
      </w:r>
      <w:r>
        <w:rPr>
          <w:sz w:val="26"/>
        </w:rPr>
        <w:tab/>
        <w:t xml:space="preserve">any and all information relating to Mr. Client’s history of physical, sexual, and/or verbal abuse, </w:t>
      </w:r>
      <w:r>
        <w:rPr>
          <w:sz w:val="26"/>
          <w:u w:val="single"/>
        </w:rPr>
        <w:t>see, e.g.</w:t>
      </w:r>
      <w:r>
        <w:rPr>
          <w:sz w:val="26"/>
        </w:rPr>
        <w:t xml:space="preserve">, </w:t>
      </w:r>
      <w:r>
        <w:rPr>
          <w:sz w:val="26"/>
          <w:u w:val="single"/>
        </w:rPr>
        <w:t>Porter</w:t>
      </w:r>
      <w:r>
        <w:rPr>
          <w:sz w:val="26"/>
        </w:rPr>
        <w:t xml:space="preserve">, 558 U.S. at 36; </w:t>
      </w:r>
      <w:r>
        <w:rPr>
          <w:sz w:val="26"/>
          <w:u w:val="single"/>
        </w:rPr>
        <w:t>Williams</w:t>
      </w:r>
      <w:r>
        <w:rPr>
          <w:sz w:val="26"/>
        </w:rPr>
        <w:t xml:space="preserve">, 529 U.S. at 370, 398; </w:t>
      </w:r>
      <w:r>
        <w:rPr>
          <w:sz w:val="26"/>
          <w:u w:val="single"/>
        </w:rPr>
        <w:t>Harris v. State</w:t>
      </w:r>
      <w:r>
        <w:rPr>
          <w:sz w:val="26"/>
        </w:rPr>
        <w:t xml:space="preserve">, 947 So. </w:t>
      </w:r>
      <w:proofErr w:type="gramStart"/>
      <w:r>
        <w:rPr>
          <w:sz w:val="26"/>
        </w:rPr>
        <w:t xml:space="preserve">2d 1079, 1116-19 (Ala. Crim. App. 2004), </w:t>
      </w:r>
      <w:r>
        <w:rPr>
          <w:sz w:val="26"/>
          <w:u w:val="single"/>
        </w:rPr>
        <w:t>overruled on other grounds by</w:t>
      </w:r>
      <w:r>
        <w:rPr>
          <w:sz w:val="26"/>
        </w:rPr>
        <w:t xml:space="preserve"> </w:t>
      </w:r>
      <w:r>
        <w:rPr>
          <w:sz w:val="26"/>
          <w:u w:val="single"/>
        </w:rPr>
        <w:t>Ex parte Jenkins</w:t>
      </w:r>
      <w:r>
        <w:rPr>
          <w:sz w:val="26"/>
        </w:rPr>
        <w:t>, 972 So.</w:t>
      </w:r>
      <w:proofErr w:type="gramEnd"/>
      <w:r>
        <w:rPr>
          <w:sz w:val="26"/>
        </w:rPr>
        <w:t xml:space="preserve"> 2d 159 (Ala. 2005);</w:t>
      </w:r>
    </w:p>
    <w:p w:rsidR="00004914" w:rsidRDefault="00004914" w:rsidP="00542FBD">
      <w:pPr>
        <w:widowControl w:val="0"/>
        <w:jc w:val="both"/>
        <w:rPr>
          <w:sz w:val="26"/>
        </w:rPr>
      </w:pPr>
    </w:p>
    <w:p w:rsidR="00004914" w:rsidRDefault="00004914" w:rsidP="00542FBD">
      <w:pPr>
        <w:widowControl w:val="0"/>
        <w:ind w:left="2160" w:hanging="720"/>
        <w:jc w:val="both"/>
        <w:rPr>
          <w:sz w:val="26"/>
        </w:rPr>
      </w:pPr>
      <w:r>
        <w:rPr>
          <w:sz w:val="26"/>
        </w:rPr>
        <w:t>p.</w:t>
      </w:r>
      <w:r>
        <w:rPr>
          <w:sz w:val="26"/>
        </w:rPr>
        <w:tab/>
        <w:t xml:space="preserve">any and all information relating to the economic conditions in which the defendant was raised or that he sustained as an adult, </w:t>
      </w:r>
      <w:r>
        <w:rPr>
          <w:sz w:val="26"/>
          <w:u w:val="single"/>
        </w:rPr>
        <w:t>see, e.g.</w:t>
      </w:r>
      <w:r>
        <w:rPr>
          <w:sz w:val="26"/>
        </w:rPr>
        <w:t xml:space="preserve">, </w:t>
      </w:r>
      <w:r>
        <w:rPr>
          <w:sz w:val="26"/>
          <w:u w:val="single"/>
        </w:rPr>
        <w:t xml:space="preserve">Wong v. </w:t>
      </w:r>
      <w:proofErr w:type="spellStart"/>
      <w:r>
        <w:rPr>
          <w:sz w:val="26"/>
          <w:u w:val="single"/>
        </w:rPr>
        <w:t>Belmontes</w:t>
      </w:r>
      <w:proofErr w:type="spellEnd"/>
      <w:r>
        <w:rPr>
          <w:sz w:val="26"/>
        </w:rPr>
        <w:t xml:space="preserve">, 558 U.S. 15, 21 (2009); </w:t>
      </w:r>
      <w:r>
        <w:rPr>
          <w:sz w:val="26"/>
          <w:u w:val="single"/>
        </w:rPr>
        <w:t>Ferrell v. Hall</w:t>
      </w:r>
      <w:r>
        <w:rPr>
          <w:sz w:val="26"/>
        </w:rPr>
        <w:t xml:space="preserve">, 640 F.3d 1199, 1230 (11th Cir. 2011); </w:t>
      </w:r>
      <w:r>
        <w:rPr>
          <w:sz w:val="26"/>
          <w:u w:val="single"/>
        </w:rPr>
        <w:t xml:space="preserve">Armstrong v. </w:t>
      </w:r>
      <w:proofErr w:type="spellStart"/>
      <w:r>
        <w:rPr>
          <w:sz w:val="26"/>
          <w:u w:val="single"/>
        </w:rPr>
        <w:t>Dugger</w:t>
      </w:r>
      <w:proofErr w:type="spellEnd"/>
      <w:r>
        <w:rPr>
          <w:sz w:val="26"/>
        </w:rPr>
        <w:t xml:space="preserve">, 833 F.2d 1430, 1433 (11th Cir. 1987); </w:t>
      </w:r>
      <w:r>
        <w:rPr>
          <w:sz w:val="26"/>
          <w:u w:val="single"/>
        </w:rPr>
        <w:t>Ex parte Smith</w:t>
      </w:r>
      <w:r>
        <w:rPr>
          <w:sz w:val="26"/>
        </w:rPr>
        <w:t xml:space="preserve">, 213 So. </w:t>
      </w:r>
      <w:proofErr w:type="gramStart"/>
      <w:r>
        <w:rPr>
          <w:sz w:val="26"/>
        </w:rPr>
        <w:t xml:space="preserve">3d 214, 220 (Ala. 2003); </w:t>
      </w:r>
      <w:r>
        <w:rPr>
          <w:sz w:val="26"/>
          <w:u w:val="single"/>
        </w:rPr>
        <w:t>Martin v. State</w:t>
      </w:r>
      <w:r>
        <w:rPr>
          <w:sz w:val="26"/>
        </w:rPr>
        <w:t>, 548 So.</w:t>
      </w:r>
      <w:proofErr w:type="gramEnd"/>
      <w:r>
        <w:rPr>
          <w:sz w:val="26"/>
        </w:rPr>
        <w:t xml:space="preserve"> 2d 488, 495 (Ala. Crim. App. 1988); </w:t>
      </w:r>
    </w:p>
    <w:p w:rsidR="00004914" w:rsidRDefault="00004914" w:rsidP="00542FBD">
      <w:pPr>
        <w:widowControl w:val="0"/>
        <w:jc w:val="both"/>
        <w:rPr>
          <w:sz w:val="26"/>
        </w:rPr>
      </w:pPr>
      <w:bookmarkStart w:id="0" w:name="_GoBack"/>
      <w:bookmarkEnd w:id="0"/>
    </w:p>
    <w:p w:rsidR="00004914" w:rsidRDefault="00004914" w:rsidP="00542FBD">
      <w:pPr>
        <w:widowControl w:val="0"/>
        <w:ind w:left="2160" w:hanging="720"/>
        <w:jc w:val="both"/>
        <w:rPr>
          <w:sz w:val="26"/>
        </w:rPr>
      </w:pPr>
      <w:proofErr w:type="gramStart"/>
      <w:r>
        <w:rPr>
          <w:sz w:val="26"/>
        </w:rPr>
        <w:t>q</w:t>
      </w:r>
      <w:proofErr w:type="gramEnd"/>
      <w:r>
        <w:rPr>
          <w:sz w:val="26"/>
        </w:rPr>
        <w:t>.</w:t>
      </w:r>
      <w:r>
        <w:rPr>
          <w:sz w:val="26"/>
        </w:rPr>
        <w:tab/>
        <w:t xml:space="preserve">any and all information relating to Mr. Client’s good deeds and accomplishments, </w:t>
      </w:r>
      <w:r>
        <w:rPr>
          <w:sz w:val="26"/>
          <w:u w:val="single"/>
        </w:rPr>
        <w:t>see</w:t>
      </w:r>
      <w:r>
        <w:rPr>
          <w:sz w:val="26"/>
        </w:rPr>
        <w:t xml:space="preserve"> </w:t>
      </w:r>
      <w:r>
        <w:rPr>
          <w:sz w:val="26"/>
          <w:u w:val="single"/>
        </w:rPr>
        <w:t>Pooler</w:t>
      </w:r>
      <w:r>
        <w:rPr>
          <w:sz w:val="26"/>
        </w:rPr>
        <w:t xml:space="preserve">, 702 F.3d at 1262; </w:t>
      </w:r>
      <w:r>
        <w:rPr>
          <w:sz w:val="26"/>
          <w:u w:val="single"/>
        </w:rPr>
        <w:t>Collier v. Turpin</w:t>
      </w:r>
      <w:r>
        <w:rPr>
          <w:sz w:val="26"/>
        </w:rPr>
        <w:t>, 177 F.3d 1184, 1202 (11th Cir. 1999);</w:t>
      </w:r>
    </w:p>
    <w:p w:rsidR="00004914" w:rsidRDefault="00004914" w:rsidP="00542FBD">
      <w:pPr>
        <w:widowControl w:val="0"/>
        <w:jc w:val="both"/>
        <w:rPr>
          <w:sz w:val="26"/>
        </w:rPr>
      </w:pPr>
    </w:p>
    <w:p w:rsidR="00004914" w:rsidRDefault="00542FBD" w:rsidP="00542FBD">
      <w:pPr>
        <w:widowControl w:val="0"/>
        <w:ind w:left="2160" w:hanging="720"/>
        <w:jc w:val="both"/>
        <w:rPr>
          <w:sz w:val="26"/>
        </w:rPr>
      </w:pPr>
      <w:r>
        <w:rPr>
          <w:sz w:val="26"/>
        </w:rPr>
        <w:t>r</w:t>
      </w:r>
      <w:r w:rsidR="00004914">
        <w:rPr>
          <w:sz w:val="26"/>
        </w:rPr>
        <w:tab/>
        <w:t xml:space="preserve">any and all information relating to Mr. Client’s drug history as well as information regarding Mr. Client’s chemical intake at the time of or near the time of the alleged offense, </w:t>
      </w:r>
      <w:r w:rsidR="00004914">
        <w:rPr>
          <w:sz w:val="26"/>
          <w:u w:val="single"/>
        </w:rPr>
        <w:t>see</w:t>
      </w:r>
      <w:r w:rsidR="00004914">
        <w:rPr>
          <w:sz w:val="26"/>
        </w:rPr>
        <w:t xml:space="preserve"> </w:t>
      </w:r>
      <w:r w:rsidR="00004914">
        <w:rPr>
          <w:sz w:val="26"/>
          <w:u w:val="single"/>
        </w:rPr>
        <w:t>Cone v. Bell</w:t>
      </w:r>
      <w:r w:rsidR="00004914">
        <w:rPr>
          <w:sz w:val="26"/>
        </w:rPr>
        <w:t xml:space="preserve">, 556 U.S. 449, 454 (2009); </w:t>
      </w:r>
      <w:r w:rsidR="00004914">
        <w:rPr>
          <w:sz w:val="26"/>
          <w:u w:val="single"/>
        </w:rPr>
        <w:t>Brownlee v. Haley</w:t>
      </w:r>
      <w:r w:rsidR="00004914">
        <w:rPr>
          <w:sz w:val="26"/>
        </w:rPr>
        <w:t>, 306 F.3d 1043, 1055-56 (11th Cir. 2002);</w:t>
      </w:r>
    </w:p>
    <w:p w:rsidR="00004914" w:rsidRDefault="00004914" w:rsidP="00542FBD">
      <w:pPr>
        <w:widowControl w:val="0"/>
        <w:jc w:val="both"/>
        <w:rPr>
          <w:sz w:val="26"/>
        </w:rPr>
      </w:pPr>
    </w:p>
    <w:p w:rsidR="00004914" w:rsidRDefault="00542FBD" w:rsidP="00542FBD">
      <w:pPr>
        <w:widowControl w:val="0"/>
        <w:ind w:left="2160" w:hanging="1440"/>
        <w:jc w:val="both"/>
        <w:rPr>
          <w:sz w:val="26"/>
        </w:rPr>
      </w:pPr>
      <w:r>
        <w:rPr>
          <w:sz w:val="26"/>
        </w:rPr>
        <w:tab/>
      </w:r>
      <w:r w:rsidR="00004914">
        <w:rPr>
          <w:sz w:val="26"/>
        </w:rPr>
        <w:t>s.</w:t>
      </w:r>
      <w:r w:rsidR="00004914">
        <w:rPr>
          <w:sz w:val="26"/>
        </w:rPr>
        <w:tab/>
        <w:t xml:space="preserve">any and all information relating to Mr. Client’s familial ties, </w:t>
      </w:r>
      <w:r w:rsidR="00004914">
        <w:rPr>
          <w:sz w:val="26"/>
          <w:u w:val="single"/>
        </w:rPr>
        <w:t>see</w:t>
      </w:r>
      <w:r w:rsidR="00004914">
        <w:rPr>
          <w:sz w:val="26"/>
        </w:rPr>
        <w:t xml:space="preserve"> </w:t>
      </w:r>
      <w:r w:rsidR="00004914">
        <w:rPr>
          <w:sz w:val="26"/>
          <w:u w:val="single"/>
        </w:rPr>
        <w:t xml:space="preserve">Burns v. </w:t>
      </w:r>
      <w:proofErr w:type="spellStart"/>
      <w:r w:rsidR="00004914">
        <w:rPr>
          <w:sz w:val="26"/>
          <w:u w:val="single"/>
        </w:rPr>
        <w:t>Sec’y</w:t>
      </w:r>
      <w:proofErr w:type="spellEnd"/>
      <w:r w:rsidR="00004914">
        <w:rPr>
          <w:sz w:val="26"/>
          <w:u w:val="single"/>
        </w:rPr>
        <w:t>, Fla. Dep’t of Corr.</w:t>
      </w:r>
      <w:r w:rsidR="00004914">
        <w:rPr>
          <w:sz w:val="26"/>
        </w:rPr>
        <w:t xml:space="preserve">, 720 F.3d 1296, 1301 (11th Cir. 2013); </w:t>
      </w:r>
      <w:r w:rsidR="00004914">
        <w:rPr>
          <w:sz w:val="26"/>
          <w:u w:val="single"/>
        </w:rPr>
        <w:t>Washington v. State</w:t>
      </w:r>
      <w:r w:rsidR="00004914">
        <w:rPr>
          <w:sz w:val="26"/>
        </w:rPr>
        <w:t xml:space="preserve">,  922 So. 2d 145, 178 (Ala. Crim. App. 2005); </w:t>
      </w:r>
    </w:p>
    <w:p w:rsidR="00004914" w:rsidRDefault="00004914" w:rsidP="00542FBD">
      <w:pPr>
        <w:widowControl w:val="0"/>
        <w:jc w:val="both"/>
        <w:rPr>
          <w:sz w:val="26"/>
        </w:rPr>
      </w:pPr>
      <w:r>
        <w:rPr>
          <w:sz w:val="26"/>
        </w:rPr>
        <w:tab/>
      </w:r>
    </w:p>
    <w:p w:rsidR="00004914" w:rsidRDefault="00004914" w:rsidP="00542FBD">
      <w:pPr>
        <w:widowControl w:val="0"/>
        <w:ind w:left="2160" w:hanging="720"/>
        <w:jc w:val="both"/>
        <w:rPr>
          <w:sz w:val="26"/>
        </w:rPr>
      </w:pPr>
      <w:proofErr w:type="gramStart"/>
      <w:r>
        <w:rPr>
          <w:sz w:val="26"/>
        </w:rPr>
        <w:t>t</w:t>
      </w:r>
      <w:proofErr w:type="gramEnd"/>
      <w:r>
        <w:rPr>
          <w:sz w:val="26"/>
        </w:rPr>
        <w:t>.</w:t>
      </w:r>
      <w:r>
        <w:rPr>
          <w:sz w:val="26"/>
        </w:rPr>
        <w:tab/>
        <w:t xml:space="preserve">any and all information relating to Mr. Client’s cooperation with law enforcement, </w:t>
      </w:r>
      <w:r>
        <w:rPr>
          <w:sz w:val="26"/>
          <w:u w:val="single"/>
        </w:rPr>
        <w:t>see</w:t>
      </w:r>
      <w:r>
        <w:rPr>
          <w:sz w:val="26"/>
        </w:rPr>
        <w:t xml:space="preserve"> </w:t>
      </w:r>
      <w:r>
        <w:rPr>
          <w:sz w:val="26"/>
          <w:u w:val="single"/>
        </w:rPr>
        <w:t>Waters v. Thomas</w:t>
      </w:r>
      <w:r>
        <w:rPr>
          <w:sz w:val="26"/>
        </w:rPr>
        <w:t xml:space="preserve">, 46 F.3d 1506, 1517 (11th Cir. 1995); </w:t>
      </w:r>
      <w:proofErr w:type="spellStart"/>
      <w:r>
        <w:rPr>
          <w:sz w:val="26"/>
          <w:u w:val="single"/>
        </w:rPr>
        <w:t>Samra</w:t>
      </w:r>
      <w:proofErr w:type="spellEnd"/>
      <w:r>
        <w:rPr>
          <w:sz w:val="26"/>
          <w:u w:val="single"/>
        </w:rPr>
        <w:t xml:space="preserve"> v. State</w:t>
      </w:r>
      <w:r>
        <w:rPr>
          <w:sz w:val="26"/>
        </w:rPr>
        <w:t>, 771 So. 2d 1108, 1121 (Ala. Crim. App. 1999);</w:t>
      </w:r>
    </w:p>
    <w:p w:rsidR="00004914" w:rsidRDefault="00004914" w:rsidP="00542FBD">
      <w:pPr>
        <w:widowControl w:val="0"/>
        <w:jc w:val="both"/>
        <w:rPr>
          <w:sz w:val="26"/>
        </w:rPr>
      </w:pPr>
    </w:p>
    <w:p w:rsidR="00004914" w:rsidRDefault="00004914" w:rsidP="00542FBD">
      <w:pPr>
        <w:widowControl w:val="0"/>
        <w:ind w:left="2160" w:hanging="1440"/>
        <w:jc w:val="both"/>
        <w:rPr>
          <w:sz w:val="26"/>
        </w:rPr>
      </w:pPr>
      <w:r>
        <w:rPr>
          <w:sz w:val="26"/>
        </w:rPr>
        <w:tab/>
      </w:r>
      <w:proofErr w:type="gramStart"/>
      <w:r>
        <w:rPr>
          <w:sz w:val="26"/>
        </w:rPr>
        <w:t>u</w:t>
      </w:r>
      <w:proofErr w:type="gramEnd"/>
      <w:r>
        <w:rPr>
          <w:sz w:val="26"/>
        </w:rPr>
        <w:t>.</w:t>
      </w:r>
      <w:r>
        <w:rPr>
          <w:sz w:val="26"/>
        </w:rPr>
        <w:tab/>
        <w:t xml:space="preserve">any and all information relating to Mr. Client’s capacity for rehabilitation, </w:t>
      </w:r>
      <w:r>
        <w:rPr>
          <w:sz w:val="26"/>
          <w:u w:val="single"/>
        </w:rPr>
        <w:t>see, e.g.</w:t>
      </w:r>
      <w:r>
        <w:rPr>
          <w:sz w:val="26"/>
        </w:rPr>
        <w:t xml:space="preserve">, </w:t>
      </w:r>
      <w:r>
        <w:rPr>
          <w:sz w:val="26"/>
          <w:u w:val="single"/>
        </w:rPr>
        <w:t>Conklin v. Schofield</w:t>
      </w:r>
      <w:r>
        <w:rPr>
          <w:sz w:val="26"/>
        </w:rPr>
        <w:t>, 366 F.3d 1191, 1205 (11th Cir. 2004);</w:t>
      </w:r>
    </w:p>
    <w:p w:rsidR="00004914" w:rsidRDefault="00004914" w:rsidP="00542FBD">
      <w:pPr>
        <w:widowControl w:val="0"/>
        <w:jc w:val="both"/>
        <w:rPr>
          <w:sz w:val="26"/>
        </w:rPr>
      </w:pPr>
    </w:p>
    <w:p w:rsidR="00004914" w:rsidRDefault="00004914" w:rsidP="00542FBD">
      <w:pPr>
        <w:widowControl w:val="0"/>
        <w:ind w:left="2160" w:hanging="1440"/>
        <w:jc w:val="both"/>
        <w:rPr>
          <w:sz w:val="26"/>
        </w:rPr>
      </w:pPr>
      <w:r>
        <w:rPr>
          <w:sz w:val="26"/>
        </w:rPr>
        <w:tab/>
      </w:r>
      <w:proofErr w:type="gramStart"/>
      <w:r>
        <w:rPr>
          <w:sz w:val="26"/>
        </w:rPr>
        <w:t>v</w:t>
      </w:r>
      <w:proofErr w:type="gramEnd"/>
      <w:r>
        <w:rPr>
          <w:sz w:val="26"/>
        </w:rPr>
        <w:t>.</w:t>
      </w:r>
      <w:r>
        <w:rPr>
          <w:sz w:val="26"/>
        </w:rPr>
        <w:tab/>
        <w:t xml:space="preserve">any and all information relating to Mr. Client’s educational history, </w:t>
      </w:r>
      <w:r>
        <w:rPr>
          <w:sz w:val="26"/>
          <w:u w:val="single"/>
        </w:rPr>
        <w:t>see, e.g.</w:t>
      </w:r>
      <w:r>
        <w:rPr>
          <w:sz w:val="26"/>
        </w:rPr>
        <w:t xml:space="preserve">, </w:t>
      </w:r>
      <w:r>
        <w:rPr>
          <w:sz w:val="26"/>
          <w:u w:val="single"/>
        </w:rPr>
        <w:t xml:space="preserve">Aldridge v. </w:t>
      </w:r>
      <w:proofErr w:type="spellStart"/>
      <w:r>
        <w:rPr>
          <w:sz w:val="26"/>
          <w:u w:val="single"/>
        </w:rPr>
        <w:t>Dugger</w:t>
      </w:r>
      <w:proofErr w:type="spellEnd"/>
      <w:r>
        <w:rPr>
          <w:sz w:val="26"/>
        </w:rPr>
        <w:t>, 925 F.2d 1320, 1330 (11th Cir. 1991);</w:t>
      </w:r>
    </w:p>
    <w:p w:rsidR="00004914" w:rsidRDefault="00004914" w:rsidP="00542FBD">
      <w:pPr>
        <w:widowControl w:val="0"/>
        <w:jc w:val="both"/>
        <w:rPr>
          <w:sz w:val="26"/>
        </w:rPr>
      </w:pPr>
      <w:r>
        <w:rPr>
          <w:sz w:val="26"/>
        </w:rPr>
        <w:tab/>
      </w:r>
      <w:r>
        <w:rPr>
          <w:sz w:val="26"/>
        </w:rPr>
        <w:tab/>
      </w:r>
    </w:p>
    <w:p w:rsidR="00004914" w:rsidRDefault="00004914" w:rsidP="00542FBD">
      <w:pPr>
        <w:widowControl w:val="0"/>
        <w:ind w:left="2160" w:hanging="1440"/>
        <w:jc w:val="both"/>
        <w:rPr>
          <w:sz w:val="26"/>
        </w:rPr>
      </w:pPr>
      <w:r>
        <w:rPr>
          <w:sz w:val="26"/>
        </w:rPr>
        <w:tab/>
      </w:r>
      <w:proofErr w:type="gramStart"/>
      <w:r>
        <w:rPr>
          <w:sz w:val="26"/>
        </w:rPr>
        <w:t>w</w:t>
      </w:r>
      <w:proofErr w:type="gramEnd"/>
      <w:r>
        <w:rPr>
          <w:sz w:val="26"/>
        </w:rPr>
        <w:t>.</w:t>
      </w:r>
      <w:r>
        <w:rPr>
          <w:sz w:val="26"/>
        </w:rPr>
        <w:tab/>
        <w:t xml:space="preserve">any and all information relating to Mr. Client’s skills or hobbies, </w:t>
      </w:r>
      <w:r>
        <w:rPr>
          <w:sz w:val="26"/>
          <w:u w:val="single"/>
        </w:rPr>
        <w:t>see, e.g.</w:t>
      </w:r>
      <w:r>
        <w:rPr>
          <w:sz w:val="26"/>
        </w:rPr>
        <w:t xml:space="preserve">, </w:t>
      </w:r>
      <w:r>
        <w:rPr>
          <w:sz w:val="26"/>
          <w:u w:val="single"/>
        </w:rPr>
        <w:t>Williams v. Taylor</w:t>
      </w:r>
      <w:r>
        <w:rPr>
          <w:sz w:val="26"/>
        </w:rPr>
        <w:t>, 529 U.S. 362, 396 (2000);</w:t>
      </w:r>
    </w:p>
    <w:p w:rsidR="00004914" w:rsidRDefault="00004914" w:rsidP="00542FBD">
      <w:pPr>
        <w:widowControl w:val="0"/>
        <w:jc w:val="both"/>
        <w:rPr>
          <w:sz w:val="26"/>
        </w:rPr>
      </w:pPr>
      <w:r>
        <w:rPr>
          <w:sz w:val="26"/>
        </w:rPr>
        <w:tab/>
      </w:r>
    </w:p>
    <w:p w:rsidR="00004914" w:rsidRDefault="00004914" w:rsidP="00542FBD">
      <w:pPr>
        <w:widowControl w:val="0"/>
        <w:ind w:left="2160" w:hanging="720"/>
        <w:jc w:val="both"/>
        <w:rPr>
          <w:sz w:val="26"/>
        </w:rPr>
      </w:pPr>
      <w:proofErr w:type="gramStart"/>
      <w:r>
        <w:rPr>
          <w:sz w:val="26"/>
        </w:rPr>
        <w:t>x</w:t>
      </w:r>
      <w:proofErr w:type="gramEnd"/>
      <w:r>
        <w:rPr>
          <w:sz w:val="26"/>
        </w:rPr>
        <w:t>.</w:t>
      </w:r>
      <w:r>
        <w:rPr>
          <w:sz w:val="26"/>
        </w:rPr>
        <w:tab/>
        <w:t xml:space="preserve">any and all information relating to Mr. Client’s religious background, </w:t>
      </w:r>
      <w:r>
        <w:rPr>
          <w:sz w:val="26"/>
          <w:u w:val="single"/>
        </w:rPr>
        <w:t>see</w:t>
      </w:r>
      <w:r>
        <w:rPr>
          <w:sz w:val="26"/>
        </w:rPr>
        <w:t xml:space="preserve"> </w:t>
      </w:r>
      <w:r>
        <w:rPr>
          <w:sz w:val="26"/>
          <w:u w:val="single"/>
        </w:rPr>
        <w:t xml:space="preserve">Armstrong v. </w:t>
      </w:r>
      <w:proofErr w:type="spellStart"/>
      <w:r>
        <w:rPr>
          <w:sz w:val="26"/>
          <w:u w:val="single"/>
        </w:rPr>
        <w:t>Dugger</w:t>
      </w:r>
      <w:proofErr w:type="spellEnd"/>
      <w:r>
        <w:rPr>
          <w:sz w:val="26"/>
        </w:rPr>
        <w:t>, 833 F.2d 1430, 1433-34 (11th Cir. 1987);</w:t>
      </w:r>
    </w:p>
    <w:p w:rsidR="00004914" w:rsidRDefault="00004914" w:rsidP="00542FBD">
      <w:pPr>
        <w:widowControl w:val="0"/>
        <w:jc w:val="both"/>
        <w:rPr>
          <w:sz w:val="26"/>
        </w:rPr>
      </w:pPr>
    </w:p>
    <w:p w:rsidR="00004914" w:rsidRDefault="00004914" w:rsidP="00542FBD">
      <w:pPr>
        <w:widowControl w:val="0"/>
        <w:ind w:left="2160" w:hanging="1440"/>
        <w:jc w:val="both"/>
        <w:rPr>
          <w:sz w:val="26"/>
        </w:rPr>
      </w:pPr>
      <w:r>
        <w:rPr>
          <w:sz w:val="26"/>
        </w:rPr>
        <w:tab/>
      </w:r>
      <w:proofErr w:type="gramStart"/>
      <w:r>
        <w:rPr>
          <w:sz w:val="26"/>
        </w:rPr>
        <w:t>y</w:t>
      </w:r>
      <w:proofErr w:type="gramEnd"/>
      <w:r>
        <w:rPr>
          <w:sz w:val="26"/>
        </w:rPr>
        <w:t>.</w:t>
      </w:r>
      <w:r>
        <w:rPr>
          <w:sz w:val="26"/>
        </w:rPr>
        <w:tab/>
        <w:t xml:space="preserve">any and all information relating to Mr. Client’s nonviolent and passive nature, </w:t>
      </w:r>
      <w:r>
        <w:rPr>
          <w:sz w:val="26"/>
          <w:u w:val="single"/>
        </w:rPr>
        <w:t>see</w:t>
      </w:r>
      <w:r>
        <w:rPr>
          <w:sz w:val="26"/>
        </w:rPr>
        <w:t xml:space="preserve"> </w:t>
      </w:r>
      <w:r>
        <w:rPr>
          <w:sz w:val="26"/>
          <w:u w:val="single"/>
        </w:rPr>
        <w:t>Armstrong</w:t>
      </w:r>
      <w:r>
        <w:rPr>
          <w:sz w:val="26"/>
        </w:rPr>
        <w:t xml:space="preserve">, 833 F.2d at 1433-34; </w:t>
      </w:r>
      <w:r>
        <w:rPr>
          <w:sz w:val="26"/>
          <w:u w:val="single"/>
        </w:rPr>
        <w:t>Myers v. State</w:t>
      </w:r>
      <w:r>
        <w:rPr>
          <w:sz w:val="26"/>
        </w:rPr>
        <w:t>, 699 So. 2d 1281, 1284 (Ala. Crim. App. 1996);</w:t>
      </w:r>
    </w:p>
    <w:p w:rsidR="00004914" w:rsidRDefault="00004914" w:rsidP="00542FBD">
      <w:pPr>
        <w:widowControl w:val="0"/>
        <w:jc w:val="both"/>
        <w:rPr>
          <w:sz w:val="26"/>
        </w:rPr>
      </w:pPr>
    </w:p>
    <w:p w:rsidR="00542FBD" w:rsidRDefault="00542FBD" w:rsidP="00542FBD">
      <w:pPr>
        <w:widowControl w:val="0"/>
        <w:jc w:val="both"/>
        <w:rPr>
          <w:sz w:val="26"/>
        </w:rPr>
      </w:pPr>
    </w:p>
    <w:p w:rsidR="00542FBD" w:rsidRDefault="00542FBD" w:rsidP="00542FBD">
      <w:pPr>
        <w:widowControl w:val="0"/>
        <w:jc w:val="both"/>
        <w:rPr>
          <w:sz w:val="26"/>
        </w:rPr>
      </w:pPr>
    </w:p>
    <w:p w:rsidR="00004914" w:rsidRDefault="00004914" w:rsidP="00542FBD">
      <w:pPr>
        <w:widowControl w:val="0"/>
        <w:ind w:left="2160" w:hanging="720"/>
        <w:jc w:val="both"/>
        <w:rPr>
          <w:sz w:val="26"/>
        </w:rPr>
      </w:pPr>
      <w:proofErr w:type="gramStart"/>
      <w:r>
        <w:rPr>
          <w:sz w:val="26"/>
        </w:rPr>
        <w:lastRenderedPageBreak/>
        <w:t>z</w:t>
      </w:r>
      <w:proofErr w:type="gramEnd"/>
      <w:r>
        <w:rPr>
          <w:sz w:val="26"/>
        </w:rPr>
        <w:t>.</w:t>
      </w:r>
      <w:r>
        <w:rPr>
          <w:sz w:val="26"/>
        </w:rPr>
        <w:tab/>
        <w:t xml:space="preserve">any other relevant mitigating circumstance which the defendant may offer as a basis for a sentence of life imprisonment without parole instead of death, Ala. Code § 13A-5-52, including evidence supporting the existence of any other </w:t>
      </w:r>
      <w:proofErr w:type="spellStart"/>
      <w:r>
        <w:rPr>
          <w:sz w:val="26"/>
        </w:rPr>
        <w:t>nonstatutory</w:t>
      </w:r>
      <w:proofErr w:type="spellEnd"/>
      <w:r>
        <w:rPr>
          <w:sz w:val="26"/>
        </w:rPr>
        <w:t xml:space="preserve"> mitigating circumstance.  </w:t>
      </w:r>
      <w:r>
        <w:rPr>
          <w:sz w:val="26"/>
          <w:u w:val="single"/>
        </w:rPr>
        <w:t>See</w:t>
      </w:r>
      <w:r>
        <w:rPr>
          <w:sz w:val="26"/>
        </w:rPr>
        <w:t xml:space="preserve"> </w:t>
      </w:r>
      <w:r>
        <w:rPr>
          <w:sz w:val="26"/>
          <w:u w:val="single"/>
        </w:rPr>
        <w:t xml:space="preserve">Parker v. </w:t>
      </w:r>
      <w:proofErr w:type="spellStart"/>
      <w:r>
        <w:rPr>
          <w:sz w:val="26"/>
          <w:u w:val="single"/>
        </w:rPr>
        <w:t>Dugger</w:t>
      </w:r>
      <w:proofErr w:type="spellEnd"/>
      <w:r>
        <w:rPr>
          <w:sz w:val="26"/>
        </w:rPr>
        <w:t>, 498 U.S. 308 (1991).</w:t>
      </w:r>
    </w:p>
    <w:p w:rsidR="00004914" w:rsidRDefault="00004914" w:rsidP="00542FBD">
      <w:pPr>
        <w:widowControl w:val="0"/>
        <w:jc w:val="both"/>
        <w:rPr>
          <w:sz w:val="26"/>
        </w:rPr>
      </w:pPr>
    </w:p>
    <w:p w:rsidR="00004914" w:rsidRDefault="00004914" w:rsidP="00542FBD">
      <w:pPr>
        <w:widowControl w:val="0"/>
        <w:jc w:val="both"/>
        <w:rPr>
          <w:sz w:val="26"/>
        </w:rPr>
      </w:pPr>
      <w:r>
        <w:rPr>
          <w:sz w:val="26"/>
        </w:rPr>
        <w:tab/>
        <w:t>6.</w:t>
      </w:r>
      <w:r>
        <w:rPr>
          <w:sz w:val="26"/>
        </w:rPr>
        <w:tab/>
        <w:t xml:space="preserve">In this motion, Mr. Client seeks to </w:t>
      </w:r>
      <w:r>
        <w:rPr>
          <w:i/>
          <w:sz w:val="26"/>
        </w:rPr>
        <w:t>anticipate</w:t>
      </w:r>
      <w:r>
        <w:rPr>
          <w:sz w:val="26"/>
        </w:rPr>
        <w:t xml:space="preserve"> any type of evidence favorable to Mr. Client that the State maintains or might acquire.  Because Mr. Client is entitled to present any mitigating evidence and the jury is entitled to hear the same, Mr. Client respectfully requests that this Court direct the State to provide all information that may have an impact on the jury’s sentencing determination. </w:t>
      </w:r>
    </w:p>
    <w:p w:rsidR="00004914" w:rsidRDefault="00004914" w:rsidP="00542FBD">
      <w:pPr>
        <w:widowControl w:val="0"/>
        <w:jc w:val="both"/>
        <w:rPr>
          <w:sz w:val="26"/>
        </w:rPr>
      </w:pPr>
    </w:p>
    <w:p w:rsidR="00004914" w:rsidRDefault="00004914" w:rsidP="00542FBD">
      <w:pPr>
        <w:widowControl w:val="0"/>
        <w:jc w:val="both"/>
        <w:rPr>
          <w:sz w:val="26"/>
        </w:rPr>
      </w:pPr>
      <w:r>
        <w:rPr>
          <w:sz w:val="26"/>
        </w:rPr>
        <w:tab/>
        <w:t>7.</w:t>
      </w:r>
      <w:r>
        <w:rPr>
          <w:sz w:val="26"/>
        </w:rPr>
        <w:tab/>
        <w:t xml:space="preserve">Because the State is seeking the death penalty, exacting standards must be met.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004914" w:rsidRDefault="00004914" w:rsidP="00542FBD">
      <w:pPr>
        <w:widowControl w:val="0"/>
        <w:jc w:val="both"/>
        <w:rPr>
          <w:sz w:val="26"/>
        </w:rPr>
      </w:pPr>
    </w:p>
    <w:p w:rsidR="00004914" w:rsidRDefault="00004914" w:rsidP="00542FBD">
      <w:pPr>
        <w:widowControl w:val="0"/>
        <w:jc w:val="both"/>
        <w:rPr>
          <w:sz w:val="26"/>
        </w:rPr>
      </w:pPr>
      <w:r>
        <w:rPr>
          <w:sz w:val="26"/>
        </w:rPr>
        <w:tab/>
        <w:t>8.</w:t>
      </w:r>
      <w:r>
        <w:rPr>
          <w:sz w:val="26"/>
        </w:rPr>
        <w:tab/>
        <w:t>Denial of access to this information will deprive Mr. Client of his rights to due process, equal protection, effective assistance of counsel, a fair trial, and a reliable sentencing as guaranteed by the Fifth, Sixth, Eighth, and Fourteenth Amendments to the United States Constitution and Alabama law.</w:t>
      </w:r>
    </w:p>
    <w:p w:rsidR="00004914" w:rsidRDefault="00004914" w:rsidP="00542FBD">
      <w:pPr>
        <w:widowControl w:val="0"/>
        <w:jc w:val="both"/>
        <w:rPr>
          <w:sz w:val="26"/>
        </w:rPr>
      </w:pPr>
      <w:r>
        <w:rPr>
          <w:sz w:val="26"/>
        </w:rPr>
        <w:tab/>
      </w:r>
    </w:p>
    <w:p w:rsidR="00004914" w:rsidRDefault="00004914" w:rsidP="00542FBD">
      <w:pPr>
        <w:widowControl w:val="0"/>
        <w:jc w:val="both"/>
        <w:rPr>
          <w:sz w:val="26"/>
        </w:rPr>
      </w:pPr>
      <w:r>
        <w:rPr>
          <w:sz w:val="26"/>
        </w:rPr>
        <w:tab/>
        <w:t>For these reasons, Mr. Client respectfully requests that this Court order the production of information relevant to Mr. Client’s sentencing phase presentation.</w:t>
      </w:r>
    </w:p>
    <w:p w:rsidR="00004914" w:rsidRDefault="00004914" w:rsidP="00542FBD">
      <w:pPr>
        <w:widowControl w:val="0"/>
        <w:jc w:val="both"/>
        <w:rPr>
          <w:sz w:val="26"/>
        </w:rPr>
      </w:pPr>
    </w:p>
    <w:p w:rsidR="00004914" w:rsidRDefault="00004914" w:rsidP="00542FBD">
      <w:pPr>
        <w:widowControl w:val="0"/>
        <w:ind w:left="720"/>
        <w:jc w:val="both"/>
        <w:rPr>
          <w:sz w:val="26"/>
        </w:rPr>
      </w:pPr>
      <w:r>
        <w:rPr>
          <w:sz w:val="26"/>
        </w:rPr>
        <w:tab/>
      </w:r>
      <w:r>
        <w:rPr>
          <w:sz w:val="26"/>
        </w:rPr>
        <w:tab/>
      </w:r>
      <w:r>
        <w:rPr>
          <w:sz w:val="26"/>
        </w:rPr>
        <w:tab/>
      </w:r>
      <w:r>
        <w:rPr>
          <w:sz w:val="26"/>
        </w:rPr>
        <w:tab/>
      </w:r>
      <w:r>
        <w:rPr>
          <w:sz w:val="26"/>
        </w:rPr>
        <w:tab/>
      </w:r>
      <w:r>
        <w:rPr>
          <w:sz w:val="26"/>
        </w:rPr>
        <w:tab/>
        <w:t>Respectfully submitted,</w:t>
      </w:r>
    </w:p>
    <w:p w:rsidR="00004914" w:rsidRDefault="00004914" w:rsidP="00542FBD">
      <w:pPr>
        <w:widowControl w:val="0"/>
        <w:jc w:val="both"/>
        <w:rPr>
          <w:sz w:val="26"/>
        </w:rPr>
      </w:pPr>
    </w:p>
    <w:p w:rsidR="00004914" w:rsidRDefault="00004914" w:rsidP="00542FBD">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004914" w:rsidRDefault="00004914" w:rsidP="00542FBD">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004914" w:rsidRDefault="00004914" w:rsidP="00542FBD">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004914" w:rsidRDefault="00004914" w:rsidP="00542FBD">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004914" w:rsidRDefault="00004914" w:rsidP="00542FBD">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004914" w:rsidRDefault="00004914" w:rsidP="00542FBD">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004914" w:rsidRDefault="00004914" w:rsidP="00542FBD">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004914" w:rsidRDefault="00004914" w:rsidP="00542FBD">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004914" w:rsidRDefault="00004914" w:rsidP="00542FBD">
      <w:pPr>
        <w:widowControl w:val="0"/>
        <w:jc w:val="both"/>
        <w:rPr>
          <w:sz w:val="26"/>
        </w:rPr>
      </w:pPr>
    </w:p>
    <w:p w:rsidR="00004914" w:rsidRDefault="00004914" w:rsidP="00542FBD">
      <w:pPr>
        <w:widowControl w:val="0"/>
        <w:tabs>
          <w:tab w:val="center" w:pos="4680"/>
        </w:tabs>
        <w:jc w:val="both"/>
        <w:rPr>
          <w:sz w:val="26"/>
        </w:rPr>
      </w:pPr>
      <w:r>
        <w:rPr>
          <w:sz w:val="26"/>
        </w:rPr>
        <w:tab/>
        <w:t>[CERTIFICATE OF SERVICE]</w:t>
      </w:r>
    </w:p>
    <w:p w:rsidR="00004914" w:rsidRDefault="00004914" w:rsidP="00542FBD">
      <w:pPr>
        <w:widowControl w:val="0"/>
        <w:tabs>
          <w:tab w:val="center" w:pos="4680"/>
        </w:tabs>
        <w:spacing w:line="240" w:lineRule="atLeast"/>
        <w:jc w:val="both"/>
      </w:pPr>
      <w:r>
        <w:rPr>
          <w:b/>
          <w:sz w:val="26"/>
        </w:rPr>
        <w:tab/>
        <w:t>[MOTION UPDATED ON 10/04/17]</w:t>
      </w:r>
    </w:p>
    <w:sectPr w:rsidR="00004914" w:rsidSect="00004914">
      <w:headerReference w:type="even" r:id="rId7"/>
      <w:headerReference w:type="default" r:id="rId8"/>
      <w:footerReference w:type="even" r:id="rId9"/>
      <w:footerReference w:type="default" r:id="rId10"/>
      <w:pgSz w:w="12240" w:h="15840"/>
      <w:pgMar w:top="1440" w:right="1440" w:bottom="192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5A" w:rsidRDefault="0047525A">
      <w:r>
        <w:separator/>
      </w:r>
    </w:p>
  </w:endnote>
  <w:endnote w:type="continuationSeparator" w:id="0">
    <w:p w:rsidR="0047525A" w:rsidRDefault="0047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FB" w:rsidRDefault="003B00FB">
    <w:pPr>
      <w:pStyle w:val="Footer"/>
      <w:jc w:val="center"/>
    </w:pPr>
    <w:r>
      <w:fldChar w:fldCharType="begin"/>
    </w:r>
    <w:r>
      <w:instrText xml:space="preserve"> PAGE   \* MERGEFORMAT </w:instrText>
    </w:r>
    <w:r>
      <w:fldChar w:fldCharType="separate"/>
    </w:r>
    <w:r>
      <w:rPr>
        <w:noProof/>
      </w:rPr>
      <w:t>4</w:t>
    </w:r>
    <w:r>
      <w:rPr>
        <w:noProof/>
      </w:rPr>
      <w:fldChar w:fldCharType="end"/>
    </w:r>
  </w:p>
  <w:p w:rsidR="00004914" w:rsidRDefault="00004914">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FB" w:rsidRDefault="003B00FB">
    <w:pPr>
      <w:pStyle w:val="Footer"/>
      <w:jc w:val="center"/>
    </w:pPr>
    <w:r>
      <w:fldChar w:fldCharType="begin"/>
    </w:r>
    <w:r>
      <w:instrText xml:space="preserve"> PAGE   \* MERGEFORMAT </w:instrText>
    </w:r>
    <w:r>
      <w:fldChar w:fldCharType="separate"/>
    </w:r>
    <w:r>
      <w:rPr>
        <w:noProof/>
      </w:rPr>
      <w:t>5</w:t>
    </w:r>
    <w:r>
      <w:rPr>
        <w:noProof/>
      </w:rPr>
      <w:fldChar w:fldCharType="end"/>
    </w:r>
  </w:p>
  <w:p w:rsidR="00004914" w:rsidRDefault="00004914">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5A" w:rsidRDefault="0047525A">
      <w:r>
        <w:separator/>
      </w:r>
    </w:p>
  </w:footnote>
  <w:footnote w:type="continuationSeparator" w:id="0">
    <w:p w:rsidR="0047525A" w:rsidRDefault="0047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4" w:rsidRDefault="0000491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14" w:rsidRDefault="00004914">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914"/>
    <w:rsid w:val="00004914"/>
    <w:rsid w:val="003B00FB"/>
    <w:rsid w:val="0047525A"/>
    <w:rsid w:val="0054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character" w:styleId="FootnoteReference">
    <w:name w:val="footnote reference"/>
    <w:uiPriority w:val="99"/>
    <w:semiHidden/>
    <w:rPr>
      <w:rFonts w:cs="Times New Roman"/>
      <w:vertAlign w:val="superscript"/>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rFonts w:cs="Times New Roman"/>
      <w:i/>
    </w:rPr>
  </w:style>
  <w:style w:type="character" w:customStyle="1" w:styleId="CODE">
    <w:name w:val="CODE"/>
    <w:rPr>
      <w:rFonts w:ascii="Courier New" w:hAnsi="Courier New" w:cs="Times New Roman"/>
      <w:sz w:val="20"/>
    </w:rPr>
  </w:style>
  <w:style w:type="character" w:customStyle="1" w:styleId="WPEmphasis">
    <w:name w:val="WP_Emphasis"/>
    <w:rPr>
      <w:rFonts w:cs="Times New Roman"/>
      <w:i/>
    </w:rPr>
  </w:style>
  <w:style w:type="character" w:customStyle="1" w:styleId="WPHyperlink">
    <w:name w:val="WP_Hyperlink"/>
    <w:rPr>
      <w:rFonts w:cs="Times New Roman"/>
      <w:color w:val="0000FF"/>
      <w:u w:val="single"/>
    </w:rPr>
  </w:style>
  <w:style w:type="character" w:customStyle="1" w:styleId="FollowedHype">
    <w:name w:val="FollowedHype"/>
    <w:rPr>
      <w:rFonts w:cs="Times New Roman"/>
      <w:color w:val="800080"/>
      <w:u w:val="single"/>
    </w:rPr>
  </w:style>
  <w:style w:type="character" w:customStyle="1" w:styleId="Keyboard">
    <w:name w:val="Keyboard"/>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cs="Times New Roman"/>
    </w:rPr>
  </w:style>
  <w:style w:type="character" w:customStyle="1" w:styleId="WPStrong">
    <w:name w:val="WP_Strong"/>
    <w:rPr>
      <w:rFonts w:cs="Times New Roman"/>
      <w:b/>
    </w:rPr>
  </w:style>
  <w:style w:type="character" w:customStyle="1" w:styleId="Typewriter">
    <w:name w:val="Typewriter"/>
    <w:rPr>
      <w:rFonts w:ascii="Courier New" w:hAnsi="Courier New" w:cs="Times New Roman"/>
      <w:sz w:val="20"/>
    </w:rPr>
  </w:style>
  <w:style w:type="character" w:customStyle="1" w:styleId="Variable">
    <w:name w:val="Variable"/>
    <w:rPr>
      <w:rFonts w:cs="Times New Roman"/>
      <w:i/>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paragraph" w:styleId="FootnoteText">
    <w:name w:val="footnote text"/>
    <w:basedOn w:val="Normal"/>
    <w:link w:val="FootnoteTextChar"/>
    <w:uiPriority w:val="99"/>
    <w:semiHidden/>
    <w:pPr>
      <w:widowControl w:val="0"/>
      <w:ind w:firstLine="720"/>
      <w:jc w:val="both"/>
    </w:pPr>
    <w:rPr>
      <w:sz w:val="20"/>
    </w:rPr>
  </w:style>
  <w:style w:type="character" w:customStyle="1" w:styleId="FootnoteTextChar">
    <w:name w:val="Footnote Text Char"/>
    <w:basedOn w:val="DefaultParagraphFont"/>
    <w:link w:val="FootnoteText"/>
    <w:uiPriority w:val="99"/>
    <w:semiHidden/>
    <w:rsid w:val="00004914"/>
  </w:style>
  <w:style w:type="paragraph" w:styleId="Header">
    <w:name w:val="header"/>
    <w:basedOn w:val="Normal"/>
    <w:link w:val="HeaderChar"/>
    <w:uiPriority w:val="99"/>
    <w:unhideWhenUsed/>
    <w:rsid w:val="003B00FB"/>
    <w:pPr>
      <w:tabs>
        <w:tab w:val="center" w:pos="4680"/>
        <w:tab w:val="right" w:pos="9360"/>
      </w:tabs>
    </w:pPr>
  </w:style>
  <w:style w:type="character" w:customStyle="1" w:styleId="HeaderChar">
    <w:name w:val="Header Char"/>
    <w:link w:val="Header"/>
    <w:uiPriority w:val="99"/>
    <w:rsid w:val="003B00FB"/>
    <w:rPr>
      <w:sz w:val="24"/>
    </w:rPr>
  </w:style>
  <w:style w:type="paragraph" w:styleId="Footer">
    <w:name w:val="footer"/>
    <w:basedOn w:val="Normal"/>
    <w:link w:val="FooterChar"/>
    <w:uiPriority w:val="99"/>
    <w:unhideWhenUsed/>
    <w:rsid w:val="003B00FB"/>
    <w:pPr>
      <w:tabs>
        <w:tab w:val="center" w:pos="4680"/>
        <w:tab w:val="right" w:pos="9360"/>
      </w:tabs>
    </w:pPr>
  </w:style>
  <w:style w:type="character" w:customStyle="1" w:styleId="FooterChar">
    <w:name w:val="Footer Char"/>
    <w:link w:val="Footer"/>
    <w:uiPriority w:val="99"/>
    <w:rsid w:val="003B00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3</cp:revision>
  <dcterms:created xsi:type="dcterms:W3CDTF">2015-01-28T16:30:00Z</dcterms:created>
  <dcterms:modified xsi:type="dcterms:W3CDTF">2017-10-04T21:16:00Z</dcterms:modified>
</cp:coreProperties>
</file>